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en-US"/>
        </w:rPr>
      </w:pPr>
      <w:r>
        <w:rPr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98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304165</wp:posOffset>
                </wp:positionV>
                <wp:extent cx="5959475" cy="5389245"/>
                <wp:effectExtent l="0" t="0" r="22225" b="20955"/>
                <wp:wrapTopAndBottom/>
                <wp:docPr id="2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9475" cy="5389418"/>
                          <a:chOff x="0" y="0"/>
                          <a:chExt cx="5959475" cy="515815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959475" cy="51581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D0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7709" y="2805520"/>
                            <a:ext cx="5846618" cy="20311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178"/>
                                <w:ind w:firstLine="0"/>
                              </w:pPr>
                              <w:r/>
                              <w:r/>
                            </w:p>
                            <w:p>
                              <w:pPr>
                                <w:pStyle w:val="1178"/>
                                <w:numPr>
                                  <w:ilvl w:val="0"/>
                                  <w:numId w:val="34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CMOS-сенсор Sony IMX662 нового поколения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(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Starvis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2)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78"/>
                                <w:numPr>
                                  <w:ilvl w:val="0"/>
                                  <w:numId w:val="34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Интерфейс передачи видеоданных MIPI CSI-2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78"/>
                                <w:numPr>
                                  <w:ilvl w:val="0"/>
                                  <w:numId w:val="34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Разъём FPC/FFC, 22 вывода шаг 0,5мм (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Ras</w:t>
                              </w: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p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berry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Pi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Zero)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78"/>
                                <w:numPr>
                                  <w:ilvl w:val="0"/>
                                  <w:numId w:val="34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Функция переключения режимов усиления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78"/>
                                <w:numPr>
                                  <w:ilvl w:val="0"/>
                                  <w:numId w:val="34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Рассчитан на установку объектива с резьбой М12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/>
                          <a:noAutofit/>
                        </wps:bodyPr>
                      </wps:wsp>
                      <wpg:grpSp>
                        <wpg:cNvGrpSpPr/>
                        <wpg:grpSpPr bwMode="auto">
                          <a:xfrm>
                            <a:off x="665018" y="685800"/>
                            <a:ext cx="4614544" cy="1762760"/>
                            <a:chOff x="0" y="0"/>
                            <a:chExt cx="4615043" cy="1763229"/>
                          </a:xfrm>
                        </wpg:grpSpPr>
                        <pic:pic xmlns:pic="http://schemas.openxmlformats.org/drawingml/2006/picture">
                          <pic:nvPicPr>
                            <pic:cNvPr id="98859733" name="_x0000_i1025"/>
                            <pic:cNvPicPr/>
                            <pic:nvPr/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>
                              <a:off x="0" y="0"/>
                              <a:ext cx="1925955" cy="1724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7936026" name="_x0000_i1026"/>
                            <pic:cNvPicPr/>
                            <pic:nvPr/>
                          </pic:nvPicPr>
                          <pic:blipFill>
                            <a:blip r:embed="rId18"/>
                            <a:stretch/>
                          </pic:blipFill>
                          <pic:spPr bwMode="auto">
                            <a:xfrm>
                              <a:off x="2668771" y="10632"/>
                              <a:ext cx="1946273" cy="1752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789824;o:allowoverlap:true;o:allowincell:true;mso-position-horizontal-relative:margin;margin-left:0.00pt;mso-position-horizontal:absolute;mso-position-vertical-relative:text;margin-top:23.95pt;mso-position-vertical:absolute;width:469.25pt;height:424.35pt;mso-wrap-distance-left:9.00pt;mso-wrap-distance-top:0.00pt;mso-wrap-distance-right:9.00pt;mso-wrap-distance-bottom:0.00pt;" coordorigin="0,0" coordsize="59594,51581">
                <v:shape id="shape 2" o:spid="_x0000_s2" o:spt="1" type="#_x0000_t1" style="position:absolute;left:0;top:0;width:59594;height:51581;visibility:visible;" filled="f" strokecolor="#00D05E" strokeweight="1.00pt">
                  <v:stroke dashstyle="solid"/>
                  <w10:wrap type="topAndBottom"/>
                </v:shape>
                <v:shape id="shape 3" o:spid="_x0000_s3" o:spt="202" type="#_x0000_t202" style="position:absolute;left:277;top:28055;width:58466;height:20311;v-text-anchor:top;visibility:visible;" fillcolor="#FFFFFF" stroked="f" strokeweight="0.50pt">
                  <v:textbox inset="0,0,0,0">
                    <w:txbxContent>
                      <w:p>
                        <w:pPr>
                          <w:pStyle w:val="1178"/>
                          <w:ind w:firstLine="0"/>
                        </w:pPr>
                        <w:r/>
                        <w:r/>
                      </w:p>
                      <w:p>
                        <w:pPr>
                          <w:pStyle w:val="1178"/>
                          <w:numPr>
                            <w:ilvl w:val="0"/>
                            <w:numId w:val="34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CMOS-сенсор Sony IMX662 нового поколения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(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Starvis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2)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78"/>
                          <w:numPr>
                            <w:ilvl w:val="0"/>
                            <w:numId w:val="34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Интерфейс передачи видеоданных MIPI CSI-2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78"/>
                          <w:numPr>
                            <w:ilvl w:val="0"/>
                            <w:numId w:val="34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Разъём FPC/FFC, 22 вывода шаг 0,5мм (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Ras</w:t>
                        </w: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p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berry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Pi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Zero)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78"/>
                          <w:numPr>
                            <w:ilvl w:val="0"/>
                            <w:numId w:val="34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Функция переключения режимов усиления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78"/>
                          <w:numPr>
                            <w:ilvl w:val="0"/>
                            <w:numId w:val="34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Рассчитан на установку объектива с резьбой М12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</w:txbxContent>
                  </v:textbox>
                </v:shape>
                <v:group id="group 4" o:spid="_x0000_s0000" style="position:absolute;left:6650;top:6858;width:46145;height:17627;" coordorigin="0,0" coordsize="46150,17632"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5" o:spid="_x0000_s5" type="#_x0000_t75" style="position:absolute;left:0;top:0;width:19259;height:17246;" stroked="f">
                    <v:path textboxrect="0,0,0,0"/>
                    <v:imagedata r:id="rId17" o:title=""/>
                  </v:shape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6" o:spid="_x0000_s6" type="#_x0000_t75" style="position:absolute;left:26687;top:106;width:19462;height:17525;" stroked="f">
                    <v:path textboxrect="0,0,0,0"/>
                    <v:imagedata r:id="rId18" o:title=""/>
                  </v:shape>
                </v:group>
              </v:group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pPr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rPr>
          <w:lang w:val="en-US"/>
        </w:rPr>
      </w:pPr>
      <w:r>
        <w:br/>
      </w:r>
      <w:r>
        <w:rPr>
          <w:lang w:val="en-US"/>
        </w:rPr>
      </w:r>
      <w:r>
        <w:rPr>
          <w:lang w:val="en-US"/>
        </w:rPr>
      </w:r>
    </w:p>
    <w:p>
      <w:pPr>
        <w:jc w:val="left"/>
        <w:tabs>
          <w:tab w:val="left" w:pos="1901" w:leader="none"/>
        </w:tabs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r>
        <w:br w:type="page" w:clear="all"/>
      </w:r>
      <w:r/>
    </w:p>
    <w:sdt>
      <w:sdtPr>
        <w15:appearance w15:val="boundingBox"/>
        <w:id w:val="1058676062"/>
        <w:docPartObj>
          <w:docPartGallery w:val="Table of Contents"/>
          <w:docPartUnique w:val="true"/>
        </w:docPartObj>
        <w:rPr>
          <w:rFonts w:eastAsiaTheme="minorHAnsi" w:cstheme="minorBidi"/>
          <w:bCs w:val="0"/>
          <w:szCs w:val="22"/>
          <w:lang w:eastAsia="en-US"/>
        </w:rPr>
      </w:sdtPr>
      <w:sdtContent>
        <w:p>
          <w:pPr>
            <w:pStyle w:val="1105"/>
            <w:numPr>
              <w:ilvl w:val="0"/>
              <w:numId w:val="0"/>
            </w:numPr>
            <w:jc w:val="center"/>
          </w:pPr>
          <w:r>
            <w:t xml:space="preserve">Оглавление</w:t>
          </w:r>
          <w:r/>
        </w:p>
        <w:p>
          <w:pPr>
            <w:pStyle w:val="1096"/>
            <w:tabs>
              <w:tab w:val="right" w:pos="9344" w:leader="dot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" w:anchor="_Toc1" w:history="1">
            <w:r>
              <w:rPr>
                <w:rFonts w:ascii="Times New Roman" w:hAnsi="Times New Roman" w:cs="Times New Roman" w:eastAsiaTheme="majorEastAsia"/>
              </w:rPr>
              <w:t xml:space="preserve">1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Описание модуля электронной камеры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2" w:anchor="_Toc2" w:history="1">
            <w:r>
              <w:rPr>
                <w:rFonts w:ascii="Times New Roman" w:hAnsi="Times New Roman" w:cs="Times New Roman" w:eastAsiaTheme="majorEastAsia"/>
              </w:rPr>
              <w:t xml:space="preserve">1.1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Назначение изделия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3" w:anchor="_Toc3" w:history="1">
            <w:r>
              <w:rPr>
                <w:rFonts w:ascii="Times New Roman" w:hAnsi="Times New Roman" w:cs="Times New Roman" w:eastAsiaTheme="majorEastAsia"/>
              </w:rPr>
              <w:t xml:space="preserve">1.2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Основ</w:t>
            </w:r>
            <w:r>
              <w:rPr>
                <w:rStyle w:val="1089"/>
              </w:rPr>
              <w:t xml:space="preserve">ные технические характеристики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</w:pPr>
          <w:r/>
          <w:hyperlink w:tooltip="#_Toc4" w:anchor="_Toc4" w:history="1">
            <w:r>
              <w:rPr>
                <w:rFonts w:ascii="Times New Roman" w:hAnsi="Times New Roman" w:cs="Times New Roman" w:eastAsiaTheme="majorEastAsia"/>
              </w:rPr>
              <w:t xml:space="preserve">2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Общая информация по подключению и настройке МЭК</w:t>
            </w:r>
            <w:r>
              <w:rPr>
                <w:rStyle w:val="1089"/>
              </w:rPr>
              <w:t xml:space="preserve"> 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5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</w:pPr>
          <w:r/>
          <w:hyperlink w:tooltip="#_Toc5" w:anchor="_Toc5" w:history="1">
            <w:r>
              <w:rPr>
                <w:rFonts w:ascii="Times New Roman" w:hAnsi="Times New Roman" w:cs="Times New Roman" w:eastAsiaTheme="majorEastAsia"/>
              </w:rPr>
              <w:t xml:space="preserve">3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Габаритные размеры МЭК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9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</w:pPr>
          <w:r/>
          <w:hyperlink w:tooltip="#_Toc6" w:anchor="_Toc6" w:history="1">
            <w:r>
              <w:rPr>
                <w:rFonts w:ascii="Times New Roman" w:hAnsi="Times New Roman" w:cs="Times New Roman" w:eastAsiaTheme="majorEastAsia"/>
              </w:rPr>
              <w:t xml:space="preserve">4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Подключение МЭК к платформе СКИФ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10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7" w:anchor="_Toc7" w:history="1">
            <w:r>
              <w:rPr>
                <w:rFonts w:ascii="Times New Roman" w:hAnsi="Times New Roman" w:cs="Times New Roman" w:eastAsiaTheme="majorEastAsia"/>
              </w:rPr>
              <w:t xml:space="preserve">4.1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Физическое подключение к платформе СКИФ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10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8" w:anchor="_Toc8" w:history="1">
            <w:r>
              <w:rPr>
                <w:rFonts w:ascii="Times New Roman" w:hAnsi="Times New Roman" w:cs="Times New Roman" w:eastAsiaTheme="majorEastAsia"/>
              </w:rPr>
              <w:t xml:space="preserve">4.2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Программное подключение к платформе СКИФ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11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  <w:rPr>
              <w:b/>
              <w:bCs w:val="0"/>
            </w:rPr>
          </w:pPr>
          <w:r/>
          <w:hyperlink w:tooltip="#_Toc9" w:anchor="_Toc9" w:history="1">
            <w:r>
              <w:rPr>
                <w:rFonts w:ascii="Times New Roman" w:hAnsi="Times New Roman" w:cs="Times New Roman" w:eastAsiaTheme="majorEastAsia"/>
              </w:rPr>
              <w:t xml:space="preserve">5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Подключение МЭК </w:t>
            </w:r>
            <w:r>
              <w:rPr>
                <w:rStyle w:val="1089"/>
              </w:rPr>
              <w:t xml:space="preserve">к </w:t>
            </w:r>
            <w:r>
              <w:rPr>
                <w:rStyle w:val="1089"/>
              </w:rPr>
              <w:t xml:space="preserve">платформе </w:t>
            </w:r>
            <w:r>
              <w:rPr>
                <w:rStyle w:val="1089"/>
                <w:lang w:val="en-US"/>
              </w:rPr>
              <w:t xml:space="preserve">RockChip</w:t>
            </w:r>
            <w:r>
              <w:rPr>
                <w:rStyle w:val="1089"/>
              </w:rPr>
              <w:t xml:space="preserve"> </w:t>
            </w:r>
            <w:r>
              <w:rPr>
                <w:rStyle w:val="1089"/>
                <w:lang w:val="en-US"/>
              </w:rPr>
              <w:t xml:space="preserve">RK</w:t>
            </w:r>
            <w:r>
              <w:rPr>
                <w:rStyle w:val="1089"/>
              </w:rPr>
              <w:t xml:space="preserve">3588</w:t>
            </w:r>
            <w:r>
              <w:rPr>
                <w:rStyle w:val="1089"/>
                <w:b/>
                <w:bCs w:val="0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15</w:t>
            </w:r>
            <w:r>
              <w:fldChar w:fldCharType="end"/>
            </w:r>
          </w:hyperlink>
          <w:r>
            <w:rPr>
              <w:b/>
              <w:bCs w:val="0"/>
            </w:rPr>
          </w:r>
          <w:r>
            <w:rPr>
              <w:b/>
              <w:bCs w:val="0"/>
            </w:rPr>
          </w:r>
        </w:p>
        <w:p>
          <w:pPr>
            <w:pStyle w:val="1097"/>
            <w:tabs>
              <w:tab w:val="right" w:pos="9344" w:leader="dot"/>
            </w:tabs>
          </w:pPr>
          <w:r/>
          <w:hyperlink w:tooltip="#_Toc10" w:anchor="_Toc10" w:history="1">
            <w:r>
              <w:rPr>
                <w:rFonts w:ascii="Times New Roman" w:hAnsi="Times New Roman" w:cs="Times New Roman" w:eastAsiaTheme="majorEastAsia"/>
              </w:rPr>
              <w:t xml:space="preserve">5.1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Физическое подключение к модулю </w:t>
            </w:r>
            <w:r>
              <w:rPr>
                <w:rStyle w:val="1089"/>
                <w:lang w:val="en-US"/>
              </w:rPr>
              <w:t xml:space="preserve">ROC</w:t>
            </w:r>
            <w:r>
              <w:rPr>
                <w:rStyle w:val="1089"/>
              </w:rPr>
              <w:t xml:space="preserve">-</w:t>
            </w:r>
            <w:r>
              <w:rPr>
                <w:rStyle w:val="1089"/>
                <w:lang w:val="en-US"/>
              </w:rPr>
              <w:t xml:space="preserve">RK</w:t>
            </w:r>
            <w:r>
              <w:rPr>
                <w:rStyle w:val="1089"/>
              </w:rPr>
              <w:t xml:space="preserve">3588</w:t>
            </w:r>
            <w:r>
              <w:rPr>
                <w:rStyle w:val="1089"/>
                <w:lang w:val="en-US"/>
              </w:rPr>
              <w:t xml:space="preserve">S</w:t>
            </w:r>
            <w:r>
              <w:rPr>
                <w:rStyle w:val="1089"/>
              </w:rPr>
              <w:t xml:space="preserve">-</w:t>
            </w:r>
            <w:r>
              <w:rPr>
                <w:rStyle w:val="1089"/>
                <w:lang w:val="en-US"/>
              </w:rPr>
              <w:t xml:space="preserve">PC</w:t>
            </w:r>
            <w:r>
              <w:rPr>
                <w:rStyle w:val="1089"/>
              </w:rPr>
              <w:t xml:space="preserve"> </w:t>
            </w:r>
            <w:r>
              <w:rPr>
                <w:rStyle w:val="1089"/>
              </w:rPr>
              <w:t xml:space="preserve">FireFly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15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11" w:anchor="_Toc11" w:history="1">
            <w:r>
              <w:rPr>
                <w:rFonts w:ascii="Times New Roman" w:hAnsi="Times New Roman" w:cs="Times New Roman" w:eastAsiaTheme="majorEastAsia"/>
              </w:rPr>
              <w:t xml:space="preserve">5.2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Программное подключение к модулю ROC-RK3588S-PC </w:t>
            </w:r>
            <w:r>
              <w:rPr>
                <w:rStyle w:val="1089"/>
              </w:rPr>
              <w:t xml:space="preserve">FireFly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15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12" w:anchor="_Toc12" w:history="1">
            <w:r>
              <w:rPr>
                <w:rFonts w:ascii="Times New Roman" w:hAnsi="Times New Roman" w:cs="Times New Roman" w:eastAsiaTheme="majorEastAsia"/>
              </w:rPr>
              <w:t xml:space="preserve">5.3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Физическое подключение к модулю </w:t>
            </w:r>
            <w:r>
              <w:rPr>
                <w:rStyle w:val="1089"/>
              </w:rPr>
              <w:t xml:space="preserve">NanoR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17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13" w:anchor="_Toc13" w:history="1">
            <w:r>
              <w:rPr>
                <w:rFonts w:ascii="Times New Roman" w:hAnsi="Times New Roman" w:cs="Times New Roman" w:eastAsiaTheme="majorEastAsia"/>
              </w:rPr>
              <w:t xml:space="preserve">5.4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Программное подключение к модулю </w:t>
            </w:r>
            <w:r>
              <w:rPr>
                <w:rStyle w:val="1089"/>
              </w:rPr>
              <w:t xml:space="preserve">NanoR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17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</w:pPr>
          <w:r/>
          <w:hyperlink w:tooltip="#_Toc14" w:anchor="_Toc14" w:history="1">
            <w:r>
              <w:rPr>
                <w:rFonts w:ascii="Times New Roman" w:hAnsi="Times New Roman" w:cs="Times New Roman" w:eastAsiaTheme="majorEastAsia"/>
              </w:rPr>
              <w:t xml:space="preserve">6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Подключение МЭК к платформе </w:t>
            </w:r>
            <w:r>
              <w:rPr>
                <w:rStyle w:val="1089"/>
                <w:lang w:val="en-US"/>
              </w:rPr>
              <w:t xml:space="preserve">RockChip</w:t>
            </w:r>
            <w:r>
              <w:rPr>
                <w:rStyle w:val="1089"/>
              </w:rPr>
              <w:t xml:space="preserve"> </w:t>
            </w:r>
            <w:r>
              <w:rPr>
                <w:rStyle w:val="1089"/>
                <w:lang w:val="en-US"/>
              </w:rPr>
              <w:t xml:space="preserve">RK</w:t>
            </w:r>
            <w:r>
              <w:rPr>
                <w:rStyle w:val="1089"/>
              </w:rPr>
              <w:t xml:space="preserve">3568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1097"/>
            <w:tabs>
              <w:tab w:val="right" w:pos="9344" w:leader="dot"/>
            </w:tabs>
          </w:pPr>
          <w:r/>
          <w:hyperlink w:tooltip="#_Toc15" w:anchor="_Toc15" w:history="1">
            <w:r>
              <w:rPr>
                <w:rFonts w:ascii="Times New Roman" w:hAnsi="Times New Roman" w:cs="Times New Roman" w:eastAsiaTheme="majorEastAsia"/>
              </w:rPr>
              <w:t xml:space="preserve">6.1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Физическое подключение к модулю DS-RK3568-EV</w:t>
            </w:r>
            <w:r>
              <w:rPr>
                <w:rStyle w:val="1089"/>
              </w:rPr>
              <w:t xml:space="preserve">B rev.1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20</w:t>
            </w:r>
            <w:r>
              <w:fldChar w:fldCharType="end"/>
            </w:r>
          </w:hyperlink>
          <w:r/>
          <w:r/>
        </w:p>
        <w:p>
          <w:pPr>
            <w:pStyle w:val="1096"/>
            <w:tabs>
              <w:tab w:val="right" w:pos="9344" w:leader="dot"/>
            </w:tabs>
          </w:pPr>
          <w:r/>
          <w:hyperlink w:tooltip="#_Toc16" w:anchor="_Toc16" w:history="1">
            <w:r>
              <w:rPr>
                <w:rFonts w:ascii="Times New Roman" w:hAnsi="Times New Roman" w:cs="Times New Roman" w:eastAsiaTheme="majorEastAsia"/>
              </w:rPr>
              <w:t xml:space="preserve">7</w:t>
            </w:r>
            <w:r>
              <w:t xml:space="preserve"> </w:t>
            </w:r>
            <w:r>
              <w:rPr>
                <w:rStyle w:val="1089"/>
              </w:rPr>
            </w:r>
            <w:r>
              <w:rPr>
                <w:rStyle w:val="1089"/>
              </w:rPr>
              <w:t xml:space="preserve">Меры предосторожности</w:t>
            </w:r>
            <w:r>
              <w:rPr>
                <w:rStyle w:val="1089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</w:r>
            <w:r>
              <w:rPr>
                <w:rFonts w:ascii="Times New Roman" w:hAnsi="Times New Roman" w:cs="Times New Roman" w:eastAsiaTheme="majorEastAsia"/>
              </w:rPr>
              <w:t xml:space="preserve">20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jc w:val="left"/>
        <w:spacing w:after="160" w:line="259" w:lineRule="auto"/>
      </w:pPr>
      <w:r>
        <w:br w:type="page" w:clear="all"/>
      </w:r>
      <w:r/>
    </w:p>
    <w:p>
      <w:pPr>
        <w:pStyle w:val="1250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руководство по эксплуатации 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является руководящим документом для изучения устройства, функционирования, порядка и правил использования по назначению, при техническом обслуживании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 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и хранении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 модуля электронной камеры 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DS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CIMX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662-22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rFonts w:eastAsia="Courier New" w:cs="Times New Roman"/>
          <w:szCs w:val="28"/>
        </w:rPr>
      </w:pPr>
      <w:r>
        <w:rPr>
          <w:rFonts w:eastAsia="Courier New" w:cs="Times New Roman"/>
          <w:szCs w:val="28"/>
        </w:rPr>
        <w:t xml:space="preserve">Настоящее </w:t>
      </w:r>
      <w:r>
        <w:rPr>
          <w:rFonts w:eastAsia="Courier New" w:cs="Times New Roman"/>
          <w:szCs w:val="28"/>
        </w:rPr>
        <w:t xml:space="preserve">руководство по эксплуатации</w:t>
      </w:r>
      <w:r>
        <w:rPr>
          <w:rFonts w:eastAsia="Courier New" w:cs="Times New Roman"/>
          <w:szCs w:val="28"/>
        </w:rPr>
        <w:t xml:space="preserve"> может быть уточнено и дополнено в установленном порядке.</w:t>
      </w:r>
      <w:r>
        <w:rPr>
          <w:rFonts w:eastAsia="Courier New" w:cs="Times New Roman"/>
          <w:szCs w:val="28"/>
        </w:rPr>
      </w:r>
      <w:r>
        <w:rPr>
          <w:rFonts w:eastAsia="Courier New" w:cs="Times New Roman"/>
          <w:szCs w:val="28"/>
        </w:rPr>
      </w:r>
    </w:p>
    <w:p>
      <w:pPr>
        <w:pStyle w:val="1250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указаний по эксплуатации, техническому обслуживанию и правил техники безопасности, изложенных в настоящем Руководстве, может быть причиной возникновения ситуаций, связанных с причинением вреда здоровью.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50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изготовителя: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50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196105, г. Санкт-Петербург,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50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Свеаборгская</w:t>
      </w:r>
      <w:r>
        <w:rPr>
          <w:rFonts w:ascii="Times New Roman" w:hAnsi="Times New Roman" w:cs="Times New Roman"/>
          <w:sz w:val="28"/>
          <w:szCs w:val="28"/>
        </w:rPr>
        <w:t xml:space="preserve">, д.12, пом.3Н.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50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Телефон/факс: +7(812) 370-60-70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50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9" w:tooltip="mailto:contract@macrogroup.ru" w:history="1"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contract</w:t>
        </w:r>
        <w:r>
          <w:rPr>
            <w:rStyle w:val="1089"/>
            <w:rFonts w:ascii="Times New Roman" w:hAnsi="Times New Roman" w:cs="Times New Roman"/>
            <w:sz w:val="28"/>
            <w:szCs w:val="28"/>
          </w:rPr>
          <w:t xml:space="preserve">@</w:t>
        </w:r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macrogroup</w:t>
        </w:r>
        <w:r>
          <w:rPr>
            <w:rStyle w:val="1089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1089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ИНН </w:t>
      </w:r>
      <w:r>
        <w:rPr>
          <w:rFonts w:cs="Times New Roman"/>
          <w:sz w:val="26"/>
          <w:szCs w:val="26"/>
        </w:rPr>
        <w:t xml:space="preserve">7810895610  КПП</w:t>
      </w:r>
      <w:r>
        <w:rPr>
          <w:rFonts w:cs="Times New Roman"/>
          <w:sz w:val="26"/>
          <w:szCs w:val="26"/>
        </w:rPr>
        <w:t xml:space="preserve"> 781001001  Р/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40702810206000003697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БИК </w:t>
      </w:r>
      <w:r>
        <w:rPr>
          <w:rFonts w:cs="Times New Roman"/>
          <w:sz w:val="26"/>
          <w:szCs w:val="26"/>
        </w:rPr>
        <w:t xml:space="preserve">044030920  К</w:t>
      </w:r>
      <w:r>
        <w:rPr>
          <w:rFonts w:cs="Times New Roman"/>
          <w:sz w:val="26"/>
          <w:szCs w:val="26"/>
        </w:rPr>
        <w:t xml:space="preserve">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30101810000000000920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САНКТ-ПЕТЕРБУРГСКИЙ ФИЛИАЛ ПАО "ПРОМСВЯЗЬБАНК"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pStyle w:val="1250"/>
        <w:jc w:val="left"/>
        <w:spacing w:befor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ОКПО </w:t>
      </w:r>
      <w:r>
        <w:rPr>
          <w:rFonts w:ascii="Times New Roman" w:hAnsi="Times New Roman" w:cs="Times New Roman"/>
          <w:sz w:val="26"/>
          <w:szCs w:val="26"/>
        </w:rPr>
        <w:t xml:space="preserve">43468759  ОКВЭД</w:t>
      </w:r>
      <w:r>
        <w:rPr>
          <w:rFonts w:ascii="Times New Roman" w:hAnsi="Times New Roman" w:cs="Times New Roman"/>
          <w:sz w:val="26"/>
          <w:szCs w:val="26"/>
        </w:rPr>
        <w:t xml:space="preserve"> 26.30, 27.90, 46.69.9, 47.78, 47.99, 72.1, 73.20.1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left"/>
        <w:spacing w:after="160" w:line="259" w:lineRule="auto"/>
        <w:rPr>
          <w:rFonts w:eastAsiaTheme="minorEastAsia"/>
          <w:lang w:eastAsia="ru-RU"/>
        </w:rPr>
      </w:pPr>
      <w:r>
        <w:br w:type="page" w:clear="all"/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p>
      <w:pPr>
        <w:pStyle w:val="930"/>
        <w:ind w:firstLine="709"/>
        <w:spacing w:line="360" w:lineRule="auto"/>
      </w:pPr>
      <w:r/>
      <w:bookmarkStart w:id="25" w:name="_Toc1"/>
      <w:r>
        <w:t xml:space="preserve">Описание модуля электронной камеры</w:t>
      </w:r>
      <w:bookmarkEnd w:id="25"/>
      <w:r/>
      <w:r/>
    </w:p>
    <w:p>
      <w:pPr>
        <w:pStyle w:val="931"/>
        <w:ind w:left="0" w:firstLine="709"/>
      </w:pPr>
      <w:r/>
      <w:bookmarkStart w:id="26" w:name="_Toc2"/>
      <w:r>
        <w:t xml:space="preserve">Назначение изделия</w:t>
      </w:r>
      <w:bookmarkEnd w:id="26"/>
      <w:r/>
      <w:r/>
    </w:p>
    <w:p>
      <w:pPr>
        <w:pStyle w:val="1178"/>
      </w:pPr>
      <w:r>
        <w:t xml:space="preserve">Модуль электронный камеры DS-CIMX662-22 (далее - </w:t>
      </w:r>
      <w:r>
        <w:t xml:space="preserve">МЭК</w:t>
      </w:r>
      <w:r>
        <w:t xml:space="preserve">) является законченным модулем, в котором используется 2,4-мегапиксельный цветной CM</w:t>
      </w:r>
      <w:r>
        <w:t xml:space="preserve">OS-сенсор Sony IMX662 нового поколения. </w:t>
      </w:r>
      <w:r/>
    </w:p>
    <w:p>
      <w:pPr>
        <w:pStyle w:val="1178"/>
      </w:pPr>
      <w:r>
        <w:t xml:space="preserve">МЭК рекомендован для применения в следующих областях:</w:t>
      </w:r>
      <w:r/>
    </w:p>
    <w:p>
      <w:pPr>
        <w:pStyle w:val="1108"/>
        <w:numPr>
          <w:ilvl w:val="0"/>
          <w:numId w:val="23"/>
        </w:numPr>
        <w:ind w:left="0" w:firstLine="709"/>
      </w:pPr>
      <w:r>
        <w:t xml:space="preserve">Машинное зрение;</w:t>
      </w:r>
      <w:r/>
    </w:p>
    <w:p>
      <w:pPr>
        <w:pStyle w:val="1178"/>
        <w:numPr>
          <w:ilvl w:val="0"/>
          <w:numId w:val="23"/>
        </w:numPr>
        <w:ind w:left="0" w:firstLine="709"/>
      </w:pPr>
      <w:r>
        <w:t xml:space="preserve">Робототехника;</w:t>
      </w:r>
      <w:r/>
    </w:p>
    <w:p>
      <w:pPr>
        <w:pStyle w:val="1178"/>
        <w:numPr>
          <w:ilvl w:val="0"/>
          <w:numId w:val="23"/>
        </w:numPr>
        <w:ind w:left="0" w:firstLine="709"/>
      </w:pPr>
      <w:r>
        <w:t xml:space="preserve">Умные камеры;</w:t>
      </w:r>
      <w:r/>
    </w:p>
    <w:p>
      <w:pPr>
        <w:pStyle w:val="1178"/>
        <w:numPr>
          <w:ilvl w:val="0"/>
          <w:numId w:val="23"/>
        </w:numPr>
        <w:ind w:left="0" w:firstLine="709"/>
      </w:pPr>
      <w:r>
        <w:t xml:space="preserve">Видеонаблюдение, </w:t>
      </w:r>
      <w:r>
        <w:t xml:space="preserve">видеорегистрация</w:t>
      </w:r>
      <w:r>
        <w:t xml:space="preserve">;</w:t>
      </w:r>
      <w:r/>
    </w:p>
    <w:p>
      <w:pPr>
        <w:pStyle w:val="1178"/>
        <w:numPr>
          <w:ilvl w:val="0"/>
          <w:numId w:val="23"/>
        </w:numPr>
        <w:ind w:left="0" w:firstLine="709"/>
      </w:pPr>
      <w:r>
        <w:t xml:space="preserve">Интеллектуальные системы помощи водителю;</w:t>
      </w:r>
      <w:r/>
    </w:p>
    <w:p>
      <w:pPr>
        <w:pStyle w:val="1178"/>
        <w:numPr>
          <w:ilvl w:val="0"/>
          <w:numId w:val="23"/>
        </w:numPr>
        <w:ind w:left="0" w:firstLine="709"/>
      </w:pPr>
      <w:r>
        <w:t xml:space="preserve">Управление дорожным движением.</w:t>
      </w:r>
      <w:r/>
    </w:p>
    <w:p>
      <w:r>
        <w:br w:type="page" w:clear="all"/>
      </w:r>
      <w:r/>
    </w:p>
    <w:p>
      <w:pPr>
        <w:pStyle w:val="931"/>
        <w:ind w:left="0" w:firstLine="709"/>
      </w:pPr>
      <w:r/>
      <w:bookmarkStart w:id="27" w:name="_Toc3"/>
      <w:r>
        <w:t xml:space="preserve">Основ</w:t>
      </w:r>
      <w:r>
        <w:t xml:space="preserve">ные технические характеристики</w:t>
      </w:r>
      <w:bookmarkEnd w:id="27"/>
      <w:r/>
      <w:r/>
    </w:p>
    <w:p>
      <w:pPr>
        <w:pStyle w:val="1177"/>
        <w:ind w:firstLine="709"/>
        <w:spacing w:before="0" w:beforeAutospacing="0"/>
      </w:pPr>
      <w:r>
        <w:t xml:space="preserve">Таблица 1. Основные технические характеристики:</w:t>
      </w:r>
      <w:r/>
    </w:p>
    <w:tbl>
      <w:tblPr>
        <w:tblStyle w:val="1107"/>
        <w:tblW w:w="8906" w:type="dxa"/>
        <w:jc w:val="center"/>
        <w:tblLook w:val="04A0" w:firstRow="1" w:lastRow="0" w:firstColumn="1" w:lastColumn="0" w:noHBand="0" w:noVBand="1"/>
      </w:tblPr>
      <w:tblGrid>
        <w:gridCol w:w="3393"/>
        <w:gridCol w:w="1305"/>
        <w:gridCol w:w="1447"/>
        <w:gridCol w:w="1393"/>
        <w:gridCol w:w="1368"/>
      </w:tblGrid>
      <w:tr>
        <w:tblPrEx/>
        <w:trPr>
          <w:jc w:val="center"/>
          <w:trHeight w:val="300"/>
        </w:trPr>
        <w:tc>
          <w:tcPr>
            <w:shd w:val="clear" w:color="auto" w:fill="dcf8df"/>
            <w:tcW w:w="36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Характеристика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27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Минимум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Номинал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27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Максимум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28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Единица измерения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Напряжение питания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  <w:lang w:val="en-US"/>
              </w:rPr>
              <w:t xml:space="preserve">25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  <w:szCs w:val="24"/>
              </w:rPr>
              <w:t xml:space="preserve">,</w:t>
            </w:r>
            <w:r>
              <w:rPr>
                <w:sz w:val="24"/>
                <w:szCs w:val="24"/>
                <w:lang w:val="en-US"/>
              </w:rPr>
              <w:t xml:space="preserve">3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Ток потребления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50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Тактовая частота МЭК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МГц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Тактовая частота интерфейса </w:t>
            </w:r>
            <w:r>
              <w:rPr>
                <w:sz w:val="24"/>
                <w:szCs w:val="24"/>
                <w:lang w:val="en-US"/>
              </w:rPr>
              <w:t xml:space="preserve">I2C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0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400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кГц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линий </w:t>
            </w:r>
            <w:r>
              <w:rPr>
                <w:sz w:val="24"/>
                <w:szCs w:val="24"/>
                <w:lang w:val="en-US"/>
              </w:rPr>
              <w:t xml:space="preserve">MIPI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CSI</w:t>
            </w:r>
            <w:r>
              <w:rPr>
                <w:sz w:val="24"/>
                <w:szCs w:val="24"/>
              </w:rPr>
              <w:t xml:space="preserve">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Частота кадров в секунду (</w:t>
            </w:r>
            <w:r>
              <w:rPr>
                <w:sz w:val="24"/>
                <w:szCs w:val="24"/>
                <w:highlight w:val="white"/>
                <w:lang w:val="en-US"/>
              </w:rPr>
              <w:t xml:space="preserve">FPS</w:t>
            </w:r>
            <w:r>
              <w:rPr>
                <w:sz w:val="24"/>
                <w:szCs w:val="24"/>
                <w:highlight w:val="white"/>
              </w:rPr>
              <w:t xml:space="preserve">)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-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lang w:val="en-US"/>
              </w:rPr>
              <w:t xml:space="preserve">-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lang w:val="en-US"/>
              </w:rPr>
              <w:t xml:space="preserve">90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Количество пикселей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2014×1196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Рекомендованное разрешение 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1920×1080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Диапазон усиления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дБ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Диагональ матрицы МЭК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6,45 (1/2.8)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пикселя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2,9×2,9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549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Габаритные размеры (Ш×В×Г)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24,5×22×7,5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15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 печатной платы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красная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jc w:val="center"/>
          <w:trHeight w:val="483"/>
        </w:trPr>
        <w:tc>
          <w:tcPr>
            <w:tcW w:w="3668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 МЭК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</w:t>
            </w:r>
            <w:r>
              <w:rPr>
                <w:sz w:val="24"/>
                <w:szCs w:val="24"/>
              </w:rPr>
              <w:t xml:space="preserve">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28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30"/>
        <w:ind w:firstLine="709"/>
      </w:pPr>
      <w:r/>
      <w:bookmarkStart w:id="28" w:name="_Toc4"/>
      <w:r>
        <w:t xml:space="preserve">Общая информация по подключению и настройке МЭК</w:t>
      </w:r>
      <w:r>
        <w:t xml:space="preserve"> </w:t>
      </w:r>
      <w:bookmarkEnd w:id="28"/>
      <w:r/>
      <w:r/>
    </w:p>
    <w:p>
      <w:pPr>
        <w:ind w:firstLine="708"/>
        <w:spacing w:before="240" w:after="120"/>
        <w:rPr>
          <w:highlight w:val="white"/>
        </w:rPr>
      </w:pPr>
      <w:r>
        <w:rPr>
          <w:highlight w:val="white"/>
        </w:rPr>
        <w:t xml:space="preserve">В настоящий момент поддерживаются платформы: СКИФ  от НПЦ “ЭЛВИС” (</w:t>
      </w:r>
      <w:r>
        <w:rPr>
          <w:highlight w:val="white"/>
          <w:lang w:val="en-US"/>
        </w:rPr>
        <w:t xml:space="preserve">M</w:t>
      </w:r>
      <w:r>
        <w:rPr>
          <w:highlight w:val="white"/>
        </w:rPr>
        <w:t xml:space="preserve">С</w:t>
      </w:r>
      <w:r>
        <w:rPr>
          <w:highlight w:val="white"/>
          <w:lang w:val="en-US"/>
        </w:rPr>
        <w:t xml:space="preserve">om</w:t>
      </w:r>
      <w:r>
        <w:rPr>
          <w:highlight w:val="white"/>
        </w:rPr>
        <w:t xml:space="preserve">-03, </w:t>
      </w:r>
      <w:hyperlink r:id="rId20" w:tooltip="https://macroems.ru/nanos/" w:history="1">
        <w:r>
          <w:rPr>
            <w:rStyle w:val="1089"/>
            <w:highlight w:val="white"/>
          </w:rPr>
          <w:t xml:space="preserve">NanoS</w:t>
        </w:r>
      </w:hyperlink>
      <w:r>
        <w:rPr>
          <w:highlight w:val="white"/>
        </w:rPr>
        <w:t xml:space="preserve">, </w:t>
      </w:r>
      <w:hyperlink r:id="rId21" w:tooltip="https://macroems.ru/picos/" w:history="1">
        <w:r>
          <w:rPr>
            <w:rStyle w:val="1089"/>
            <w:highlight w:val="white"/>
          </w:rPr>
          <w:t xml:space="preserve">PicoS</w:t>
        </w:r>
      </w:hyperlink>
      <w:r>
        <w:rPr>
          <w:highlight w:val="white"/>
        </w:rPr>
        <w:t xml:space="preserve">),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 (</w:t>
      </w:r>
      <w:r>
        <w:rPr>
          <w:highlight w:val="white"/>
        </w:rPr>
        <w:t xml:space="preserve">NanoR</w:t>
      </w:r>
      <w:r>
        <w:rPr>
          <w:highlight w:val="white"/>
        </w:rPr>
        <w:t xml:space="preserve"> , </w:t>
      </w:r>
      <w:r>
        <w:rPr>
          <w:highlight w:val="white"/>
          <w:lang w:val="en-US"/>
        </w:rPr>
        <w:t xml:space="preserve">FireFly</w:t>
      </w:r>
      <w:r>
        <w:rPr>
          <w:highlight w:val="white"/>
        </w:rPr>
        <w:t xml:space="preserve"> </w:t>
      </w:r>
      <w:bookmarkStart w:id="4" w:name="_Hlk158555684"/>
      <w:r>
        <w:rPr>
          <w:highlight w:val="white"/>
          <w:lang w:val="en-US"/>
        </w:rPr>
        <w:t xml:space="preserve">ROC</w:t>
      </w:r>
      <w:r>
        <w:rPr>
          <w:highlight w:val="white"/>
        </w:rPr>
        <w:t xml:space="preserve">-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</w:t>
      </w:r>
      <w:r>
        <w:rPr>
          <w:highlight w:val="white"/>
          <w:lang w:val="en-US"/>
        </w:rPr>
        <w:t xml:space="preserve">S</w:t>
      </w:r>
      <w:r>
        <w:rPr>
          <w:highlight w:val="white"/>
        </w:rPr>
        <w:t xml:space="preserve">)</w:t>
      </w:r>
      <w:bookmarkEnd w:id="4"/>
      <w:r>
        <w:rPr>
          <w:highlight w:val="white"/>
        </w:rPr>
        <w:t xml:space="preserve">. Тестируется с платформами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3568 (DS-RK3568) от бренда </w:t>
      </w:r>
      <w:r>
        <w:rPr>
          <w:highlight w:val="white"/>
          <w:lang w:val="en-US"/>
        </w:rPr>
        <w:t xml:space="preserve">DiaSom</w:t>
      </w:r>
      <w:r>
        <w:rPr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r>
        <w:tab/>
        <w:t xml:space="preserve">Для подключения МЭК к различным вычислительным платформам используется один 22-выводный разъём </w:t>
      </w:r>
      <w:r>
        <w:rPr>
          <w:lang w:val="en-US"/>
        </w:rPr>
        <w:t xml:space="preserve">J</w:t>
      </w:r>
      <w:r>
        <w:t xml:space="preserve">1 (рис.1), установленный на плате модуля. Назначение контактов разъёма указано в таблице 2.</w:t>
      </w:r>
      <w:r/>
    </w:p>
    <w:p>
      <w:pPr>
        <w:jc w:val="center"/>
        <w:rPr>
          <w:rFonts w:cs="Times New Roman"/>
        </w:rPr>
      </w:pP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7776" behindDoc="0" locked="0" layoutInCell="1" allowOverlap="1">
                <wp:simplePos x="0" y="0"/>
                <wp:positionH relativeFrom="column">
                  <wp:posOffset>3852855</wp:posOffset>
                </wp:positionH>
                <wp:positionV relativeFrom="paragraph">
                  <wp:posOffset>116368</wp:posOffset>
                </wp:positionV>
                <wp:extent cx="541020" cy="388620"/>
                <wp:effectExtent l="0" t="0" r="0" b="0"/>
                <wp:wrapNone/>
                <wp:docPr id="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  <w:lang w:val="en-US"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202" type="#_x0000_t202" style="position:absolute;z-index:251787776;o:allowoverlap:true;o:allowincell:true;mso-position-horizontal-relative:text;margin-left:303.37pt;mso-position-horizontal:absolute;mso-position-vertical-relative:text;margin-top:9.16pt;mso-position-vertical:absolute;width:42.60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b/>
                          <w:bCs/>
                          <w:color w:val="ffff00"/>
                          <w:sz w:val="4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44"/>
                          <w:lang w:val="en-US"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5728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121610</wp:posOffset>
                </wp:positionV>
                <wp:extent cx="382772" cy="388620"/>
                <wp:effectExtent l="0" t="0" r="0" b="0"/>
                <wp:wrapNone/>
                <wp:docPr id="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72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  <w:lang w:val="en-US"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785728;o:allowoverlap:true;o:allowincell:true;mso-position-horizontal-relative:text;margin-left:136.75pt;mso-position-horizontal:absolute;mso-position-vertical-relative:text;margin-top:9.58pt;mso-position-vertical:absolute;width:30.14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b/>
                          <w:bCs/>
                          <w:color w:val="ffff00"/>
                          <w:sz w:val="4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44"/>
                          <w:lang w:val="en-US"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3740135</wp:posOffset>
                </wp:positionH>
                <wp:positionV relativeFrom="paragraph">
                  <wp:posOffset>895838</wp:posOffset>
                </wp:positionV>
                <wp:extent cx="541020" cy="388620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  <w:lang w:val="en-US"/>
                              </w:rPr>
                              <w:t xml:space="preserve">21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" o:spid="_x0000_s9" o:spt="202" type="#_x0000_t202" style="position:absolute;z-index:251651072;o:allowoverlap:true;o:allowincell:true;mso-position-horizontal-relative:text;margin-left:294.50pt;mso-position-horizontal:absolute;mso-position-vertical-relative:text;margin-top:70.54pt;mso-position-vertical:absolute;width:42.60pt;height:30.6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b/>
                          <w:bCs/>
                          <w:color w:val="ffff00"/>
                          <w:sz w:val="4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44"/>
                          <w:lang w:val="en-US"/>
                        </w:rPr>
                        <w:t xml:space="preserve">21</w:t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896620</wp:posOffset>
                </wp:positionV>
                <wp:extent cx="274320" cy="403860"/>
                <wp:effectExtent l="0" t="0" r="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4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" o:spid="_x0000_s10" o:spt="202" type="#_x0000_t202" style="position:absolute;z-index:251650048;o:allowoverlap:true;o:allowincell:true;mso-position-horizontal-relative:text;margin-left:128.15pt;mso-position-horizontal:absolute;mso-position-vertical-relative:text;margin-top:70.60pt;mso-position-vertical:absolute;width:21.60pt;height:31.80pt;mso-wrap-distance-left:9.00pt;mso-wrap-distance-top:3.60pt;mso-wrap-distance-right:9.00pt;mso-wrap-distance-bottom:3.6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b/>
                          <w:bCs/>
                          <w:color w:val="ffff00"/>
                          <w:sz w:val="4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44"/>
                          <w:lang w:val="en-US"/>
                        </w:rPr>
                        <w:t xml:space="preserve">1</w:t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  <w:r>
                        <w:rPr>
                          <w:b/>
                          <w:bCs/>
                          <w:color w:val="ffff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86199" cy="1257300"/>
                <wp:effectExtent l="0" t="0" r="635" b="0"/>
                <wp:docPr id="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6378" t="1598" r="13370" b="15138"/>
                        <a:stretch/>
                      </pic:blipFill>
                      <pic:spPr bwMode="auto">
                        <a:xfrm rot="10800000">
                          <a:off x="0" y="0"/>
                          <a:ext cx="3887991" cy="125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06.00pt;height:99.00pt;mso-wrap-distance-left:0.00pt;mso-wrap-distance-top:0.00pt;mso-wrap-distance-right:0.00pt;mso-wrap-distance-bottom:0.00pt;rotation:180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76"/>
      </w:pPr>
      <w:r>
        <w:t xml:space="preserve">Рисунок </w:t>
      </w:r>
      <w:r>
        <w:t xml:space="preserve">1 – Внешний вид разъёма </w:t>
      </w:r>
      <w:r>
        <w:rPr>
          <w:lang w:val="en-US"/>
        </w:rPr>
        <w:t xml:space="preserve">J</w:t>
      </w:r>
      <w:r>
        <w:t xml:space="preserve">1 на плате МЭК</w:t>
      </w:r>
      <w:r/>
    </w:p>
    <w:p>
      <w:pPr>
        <w:pStyle w:val="1177"/>
        <w:ind w:firstLine="709"/>
      </w:pPr>
      <w:r>
        <w:t xml:space="preserve">Таблица 2. Соответствие контактов разъёмов.</w:t>
      </w:r>
      <w:r/>
    </w:p>
    <w:tbl>
      <w:tblPr>
        <w:tblStyle w:val="1107"/>
        <w:tblW w:w="9350" w:type="dxa"/>
        <w:tblInd w:w="-5" w:type="dxa"/>
        <w:tblLook w:val="04A0" w:firstRow="1" w:lastRow="0" w:firstColumn="1" w:lastColumn="0" w:noHBand="0" w:noVBand="1"/>
      </w:tblPr>
      <w:tblGrid>
        <w:gridCol w:w="4740"/>
        <w:gridCol w:w="2206"/>
        <w:gridCol w:w="2404"/>
      </w:tblGrid>
      <w:tr>
        <w:tblPrEx/>
        <w:trPr/>
        <w:tc>
          <w:tcPr>
            <w:shd w:val="clear" w:color="auto" w:fill="dcf8df"/>
            <w:tcW w:w="4740" w:type="dxa"/>
            <w:vAlign w:val="center"/>
            <w:textDirection w:val="lrTb"/>
            <w:noWrap w:val="false"/>
          </w:tcPr>
          <w:p>
            <w:pPr>
              <w:jc w:val="center"/>
              <w:keepNext/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Сигнал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shd w:val="clear" w:color="auto" w:fill="dcf8df"/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22-проводного разъёма </w:t>
            </w:r>
            <w:r>
              <w:rPr>
                <w:rFonts w:cstheme="minorHAnsi"/>
                <w:b/>
                <w:sz w:val="22"/>
                <w:lang w:val="en-US"/>
              </w:rPr>
              <w:t xml:space="preserve">J</w:t>
            </w: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shd w:val="clear" w:color="auto" w:fill="dcf8df"/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15-проводного разъёма соединительного шлейфа на рис.4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22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0 отрицательный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21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0 положительный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20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3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19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4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1 отрицательный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18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5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1 положительный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17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6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16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7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такта видеоданных отрицательный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15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8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такта видеоданных положительный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14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9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13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10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247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2 отрицательный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12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137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2 положительный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11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183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10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216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Линия видеоданных 3 отрицательный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9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137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color w:val="000000" w:themeColor="text1"/>
                <w:sz w:val="22"/>
              </w:rPr>
              <w:t xml:space="preserve">Линия видеоданных 3 положительный провод</w:t>
            </w:r>
            <w:r>
              <w:rPr>
                <w:rFonts w:eastAsia="Times New Roman" w:cs="Times New Roman"/>
                <w:sz w:val="22"/>
              </w:rPr>
            </w:r>
            <w:r>
              <w:rPr>
                <w:rFonts w:eastAsia="Times New Roman"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8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155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7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Включение питания </w:t>
            </w:r>
            <w:r>
              <w:rPr>
                <w:rFonts w:cs="Times New Roman"/>
                <w:sz w:val="22"/>
                <w:lang w:val="en-US"/>
              </w:rPr>
              <w:t xml:space="preserve">(PON)</w:t>
            </w:r>
            <w:r>
              <w:rPr>
                <w:rFonts w:cs="Times New Roman"/>
                <w:sz w:val="22"/>
                <w:lang w:val="en-US"/>
              </w:rPr>
            </w: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6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11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Не используется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5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12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>
          <w:trHeight w:val="151"/>
        </w:trPr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Общий провод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4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-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Такт интерфейса </w:t>
            </w:r>
            <w:r>
              <w:rPr>
                <w:rFonts w:cs="Times New Roman"/>
                <w:sz w:val="22"/>
                <w:lang w:val="en-US"/>
              </w:rPr>
              <w:t xml:space="preserve">I2C</w:t>
            </w:r>
            <w:r>
              <w:rPr>
                <w:rFonts w:cs="Times New Roman"/>
                <w:sz w:val="22"/>
              </w:rPr>
              <w:t xml:space="preserve"> (</w:t>
            </w:r>
            <w:r>
              <w:rPr>
                <w:rFonts w:cs="Times New Roman"/>
                <w:sz w:val="22"/>
                <w:lang w:val="en-US"/>
              </w:rPr>
              <w:t xml:space="preserve">SCL)</w:t>
            </w:r>
            <w:r>
              <w:rPr>
                <w:rFonts w:cs="Times New Roman"/>
                <w:sz w:val="22"/>
                <w:lang w:val="en-US"/>
              </w:rPr>
            </w: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3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13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Данные интерфейса </w:t>
            </w:r>
            <w:r>
              <w:rPr>
                <w:rFonts w:cs="Times New Roman"/>
                <w:sz w:val="22"/>
                <w:lang w:val="en-US"/>
              </w:rPr>
              <w:t xml:space="preserve">I2C (SDA)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2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14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  <w:tr>
        <w:tblPrEx/>
        <w:trPr/>
        <w:tc>
          <w:tcPr>
            <w:tcW w:w="47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Питание </w:t>
            </w:r>
            <w:r>
              <w:rPr>
                <w:rFonts w:cs="Times New Roman"/>
                <w:sz w:val="22"/>
                <w:lang w:val="en-US"/>
              </w:rPr>
            </w: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2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15</w:t>
            </w:r>
            <w:r>
              <w:rPr>
                <w:rFonts w:cs="Times New Roman"/>
                <w:sz w:val="22"/>
              </w:rPr>
            </w:r>
            <w:r>
              <w:rPr>
                <w:rFonts w:cs="Times New Roman"/>
                <w:sz w:val="22"/>
              </w:rPr>
            </w:r>
          </w:p>
        </w:tc>
      </w:tr>
    </w:tbl>
    <w:p>
      <w:pPr>
        <w:ind w:firstLine="709"/>
        <w:pageBreakBefore/>
        <w:spacing w:before="120"/>
        <w:rPr>
          <w:rFonts w:cs="Times New Roman"/>
        </w:rPr>
      </w:pPr>
      <w:r>
        <w:rPr>
          <w:rFonts w:cs="Times New Roman"/>
        </w:rPr>
        <w:t xml:space="preserve">Питание МЭК включается по команде компьютера, к которому он подключен, высоким логическим уровнем (3В&lt;</w:t>
      </w:r>
      <w:r>
        <w:rPr>
          <w:rFonts w:cs="Times New Roman"/>
          <w:lang w:val="en-US"/>
        </w:rPr>
        <w:t xml:space="preserve">PON</w:t>
      </w:r>
      <w:r>
        <w:rPr>
          <w:rFonts w:cs="Times New Roman"/>
        </w:rPr>
        <w:t xml:space="preserve">&lt;5В) на контакте 6 разъёма </w:t>
      </w:r>
      <w:r>
        <w:rPr>
          <w:rFonts w:cs="Times New Roman"/>
          <w:lang w:val="en-US"/>
        </w:rPr>
        <w:t xml:space="preserve">J</w:t>
      </w:r>
      <w:r>
        <w:rPr>
          <w:rFonts w:cs="Times New Roman"/>
        </w:rPr>
        <w:t xml:space="preserve">1. Когда все служебные источники питания модуля включены, зажигается зелёный светодиод </w:t>
      </w:r>
      <w:r>
        <w:rPr>
          <w:rFonts w:cs="Times New Roman"/>
          <w:lang w:val="en-US"/>
        </w:rPr>
        <w:t xml:space="preserve">LED</w:t>
      </w:r>
      <w:r>
        <w:rPr>
          <w:rFonts w:cs="Times New Roman"/>
        </w:rPr>
        <w:t xml:space="preserve">1. Отключается питание подачей низкого логического уровня (</w:t>
      </w:r>
      <w:r>
        <w:rPr>
          <w:rFonts w:cs="Times New Roman"/>
          <w:lang w:val="en-US"/>
        </w:rPr>
        <w:t xml:space="preserve">PON</w:t>
      </w:r>
      <w:r>
        <w:rPr>
          <w:rFonts w:cs="Times New Roman"/>
        </w:rPr>
        <w:t xml:space="preserve">&lt;0,5В) на этот контакт.</w:t>
      </w:r>
      <w:r>
        <w:rPr>
          <w:rFonts w:cs="Times New Roman"/>
        </w:rPr>
      </w:r>
      <w:r>
        <w:rPr>
          <w:rFonts w:cs="Times New Roman"/>
        </w:rPr>
      </w:r>
    </w:p>
    <w:p>
      <w:pPr>
        <w:ind w:firstLine="708"/>
        <w:rPr>
          <w:rFonts w:cs="Times New Roman"/>
        </w:rPr>
      </w:pPr>
      <w:r>
        <w:rPr>
          <w:rFonts w:cs="Times New Roman"/>
        </w:rPr>
        <w:t xml:space="preserve">Режим работы МЭК определяется содержимым внутренних регистров. Информация в эти </w:t>
      </w:r>
      <w:r>
        <w:rPr>
          <w:rFonts w:cs="Times New Roman"/>
        </w:rPr>
        <w:t xml:space="preserve">регистры должна быть корректно внесена компьютером по шине </w:t>
      </w:r>
      <w:r>
        <w:rPr>
          <w:rFonts w:cs="Times New Roman"/>
          <w:lang w:val="en-US"/>
        </w:rPr>
        <w:t xml:space="preserve">I</w:t>
      </w:r>
      <w:r>
        <w:rPr>
          <w:rFonts w:cs="Times New Roman"/>
        </w:rPr>
        <w:t xml:space="preserve">2</w:t>
      </w:r>
      <w:r>
        <w:rPr>
          <w:rFonts w:cs="Times New Roman"/>
          <w:lang w:val="en-US"/>
        </w:rPr>
        <w:t xml:space="preserve">C</w:t>
      </w:r>
      <w:r>
        <w:rPr>
          <w:rFonts w:cs="Times New Roman"/>
        </w:rPr>
        <w:t xml:space="preserve"> в зависимости от применения МЭК до запуска передачи видеоинформации. Адрес МЭК на шине </w:t>
      </w:r>
      <w:r>
        <w:rPr>
          <w:rFonts w:cs="Times New Roman"/>
          <w:lang w:val="en-US"/>
        </w:rPr>
        <w:t xml:space="preserve">I</w:t>
      </w:r>
      <w:r>
        <w:rPr>
          <w:rFonts w:cs="Times New Roman"/>
        </w:rPr>
        <w:t xml:space="preserve">2</w:t>
      </w:r>
      <w:r>
        <w:rPr>
          <w:rFonts w:cs="Times New Roman"/>
          <w:lang w:val="en-US"/>
        </w:rPr>
        <w:t xml:space="preserve">C</w:t>
      </w:r>
      <w:r>
        <w:rPr>
          <w:rFonts w:cs="Times New Roman"/>
        </w:rPr>
        <w:t xml:space="preserve"> определяется комбинацией логических уровней на входах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0 и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1 МЭК, который задаётся резист</w:t>
      </w:r>
      <w:r>
        <w:rPr>
          <w:rFonts w:cs="Times New Roman"/>
        </w:rPr>
        <w:t xml:space="preserve">орами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15,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16,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17 и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18 на плате модуля в соответствии с таблицей 3. Низкий логический уровень на входах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0 и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1 - 0 в таблице 3, высокий логический уровень - 1.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rFonts w:cs="Times New Roman"/>
        </w:rPr>
      </w:pPr>
      <w:r>
        <w:rPr>
          <w:rFonts w:cs="Times New Roman"/>
        </w:rPr>
        <w:tab/>
        <w:t xml:space="preserve">Режим синхронизации видеосигнала МЭК </w:t>
      </w:r>
      <w:r>
        <w:rPr>
          <w:rFonts w:cs="Times New Roman"/>
          <w:lang w:val="en-US"/>
        </w:rPr>
        <w:t xml:space="preserve">MASTER</w:t>
      </w:r>
      <w:r>
        <w:rPr>
          <w:rFonts w:cs="Times New Roman"/>
        </w:rPr>
        <w:t xml:space="preserve"> установлен при изготовлении и не </w:t>
      </w:r>
      <w:r>
        <w:rPr>
          <w:rFonts w:cs="Times New Roman"/>
        </w:rPr>
        <w:t xml:space="preserve">может быть изменён.</w:t>
      </w:r>
      <w:r>
        <w:rPr>
          <w:rFonts w:cs="Times New Roman"/>
        </w:rPr>
      </w:r>
      <w:r>
        <w:rPr>
          <w:rFonts w:cs="Times New Roman"/>
        </w:rPr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tab/>
        <w:t xml:space="preserve">Резисторы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6 и </w:t>
      </w:r>
      <w:r>
        <w:rPr>
          <w:rFonts w:cs="Times New Roman"/>
          <w:lang w:val="en-US"/>
        </w:rPr>
        <w:t xml:space="preserve">R</w:t>
      </w:r>
      <w:r>
        <w:rPr>
          <w:rFonts w:cs="Times New Roman"/>
        </w:rPr>
        <w:t xml:space="preserve">7 (4,7кОм) требуются для согласования уровней сигналов на шине </w:t>
      </w:r>
      <w:r>
        <w:rPr>
          <w:rFonts w:cs="Times New Roman"/>
          <w:lang w:val="en-US"/>
        </w:rPr>
        <w:t xml:space="preserve">I</w:t>
      </w:r>
      <w:r>
        <w:rPr>
          <w:rFonts w:cs="Times New Roman"/>
        </w:rPr>
        <w:t xml:space="preserve">2</w:t>
      </w:r>
      <w:r>
        <w:rPr>
          <w:rFonts w:cs="Times New Roman"/>
          <w:lang w:val="en-US"/>
        </w:rPr>
        <w:t xml:space="preserve">C</w:t>
      </w:r>
      <w:r>
        <w:rPr>
          <w:rFonts w:cs="Times New Roman"/>
        </w:rPr>
        <w:t xml:space="preserve">. Они устанавливаются только в том случае, если подобных резисторов (</w:t>
      </w:r>
      <w:r>
        <w:rPr>
          <w:rFonts w:cs="Times New Roman"/>
          <w:lang w:val="en-US"/>
        </w:rPr>
        <w:t xml:space="preserve">pull</w:t>
      </w:r>
      <w:r>
        <w:rPr>
          <w:rFonts w:cs="Times New Roman"/>
        </w:rPr>
        <w:t xml:space="preserve">-</w:t>
      </w:r>
      <w:r>
        <w:rPr>
          <w:rFonts w:cs="Times New Roman"/>
          <w:lang w:val="en-US"/>
        </w:rPr>
        <w:t xml:space="preserve">up</w:t>
      </w:r>
      <w:r>
        <w:rPr>
          <w:rFonts w:cs="Times New Roman"/>
        </w:rPr>
        <w:t xml:space="preserve">) нет на плате целевой платформы, к которой подключается МЭК. </w:t>
      </w:r>
      <w:r>
        <w:rPr>
          <w:rFonts w:cs="Times New Roman"/>
          <w:b/>
          <w:bCs/>
        </w:rPr>
        <w:t xml:space="preserve">Внимание! При и</w:t>
      </w:r>
      <w:r>
        <w:rPr>
          <w:rFonts w:cs="Times New Roman"/>
          <w:b/>
          <w:bCs/>
        </w:rPr>
        <w:t xml:space="preserve">зготовлении МЭК эти резисторы не устанавливаются.</w:t>
      </w:r>
      <w:r>
        <w:rPr>
          <w:rFonts w:cs="Times New Roman"/>
          <w:b/>
          <w:bCs/>
        </w:rPr>
      </w:r>
      <w:r>
        <w:rPr>
          <w:rFonts w:cs="Times New Roman"/>
          <w:b/>
          <w:bCs/>
        </w:rPr>
      </w:r>
    </w:p>
    <w:p>
      <w:pPr>
        <w:pStyle w:val="1177"/>
        <w:ind w:firstLine="709"/>
      </w:pPr>
      <w:r>
        <w:t xml:space="preserve">Таблица 3. Настройка адреса МЭК на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.</w:t>
      </w:r>
      <w:r/>
    </w:p>
    <w:tbl>
      <w:tblPr>
        <w:tblStyle w:val="1107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134"/>
        <w:gridCol w:w="1134"/>
        <w:gridCol w:w="1134"/>
        <w:gridCol w:w="1135"/>
        <w:gridCol w:w="1134"/>
        <w:gridCol w:w="1700"/>
      </w:tblGrid>
      <w:tr>
        <w:tblPrEx/>
        <w:trPr>
          <w:jc w:val="center"/>
          <w:trHeight w:val="561"/>
        </w:trPr>
        <w:tc>
          <w:tcPr>
            <w:shd w:val="clear" w:color="auto" w:fill="dcf8df"/>
            <w:tcW w:w="8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Адрес на шине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I2</w:t>
            </w:r>
            <w:r>
              <w:rPr>
                <w:rFonts w:cs="Times New Roman"/>
                <w:b/>
                <w:sz w:val="20"/>
                <w:szCs w:val="20"/>
              </w:rPr>
              <w:t xml:space="preserve">С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Уровень на входе SLAMODE0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Уровень на входе SLAMODE1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Резистор 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R15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Резистор 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R1</w:t>
            </w:r>
            <w:r>
              <w:rPr>
                <w:rFonts w:cs="Times New Roman"/>
                <w:b/>
                <w:sz w:val="20"/>
                <w:szCs w:val="20"/>
              </w:rPr>
              <w:t xml:space="preserve">6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Резистор 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R1</w:t>
            </w:r>
            <w:r>
              <w:rPr>
                <w:rFonts w:cs="Times New Roman"/>
                <w:b/>
                <w:sz w:val="20"/>
                <w:szCs w:val="20"/>
              </w:rPr>
              <w:t xml:space="preserve">7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Резистор 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R1</w:t>
            </w:r>
            <w:r>
              <w:rPr>
                <w:rFonts w:cs="Times New Roman"/>
                <w:b/>
                <w:sz w:val="20"/>
                <w:szCs w:val="20"/>
              </w:rPr>
              <w:t xml:space="preserve">8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70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Примечание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69"/>
        </w:trPr>
        <w:tc>
          <w:tcPr>
            <w:tcW w:w="8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 xml:space="preserve">0x34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0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0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70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Установлен при изготовлении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8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 xml:space="preserve">0x20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0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1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70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8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 xml:space="preserve">0x</w:t>
            </w:r>
            <w:r>
              <w:rPr>
                <w:rFonts w:cs="Times New Roman"/>
                <w:sz w:val="20"/>
                <w:szCs w:val="20"/>
                <w:highlight w:val="white"/>
              </w:rPr>
              <w:t xml:space="preserve">6С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1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0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70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8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 xml:space="preserve">0x</w:t>
            </w:r>
            <w:r>
              <w:rPr>
                <w:rFonts w:cs="Times New Roman"/>
                <w:sz w:val="20"/>
                <w:szCs w:val="20"/>
                <w:highlight w:val="white"/>
              </w:rPr>
              <w:t xml:space="preserve">6</w:t>
            </w:r>
            <w:r>
              <w:rPr>
                <w:rFonts w:cs="Times New Roman"/>
                <w:sz w:val="20"/>
                <w:szCs w:val="20"/>
                <w:highlight w:val="white"/>
                <w:lang w:val="en-US"/>
              </w:rPr>
              <w:t xml:space="preserve">E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1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1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4,7кОм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  <w:t xml:space="preserve">-</w:t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  <w:tc>
          <w:tcPr>
            <w:tcW w:w="170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0"/>
                <w:szCs w:val="20"/>
                <w:highlight w:val="white"/>
              </w:rPr>
            </w:pP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  <w:r>
              <w:rPr>
                <w:rFonts w:cs="Times New Roman"/>
                <w:sz w:val="20"/>
                <w:szCs w:val="20"/>
                <w:highlight w:val="white"/>
              </w:rPr>
            </w:r>
          </w:p>
        </w:tc>
      </w:tr>
    </w:tbl>
    <w:p>
      <w:pPr>
        <w:spacing w:before="240"/>
      </w:pPr>
      <w:r>
        <w:t xml:space="preserve">Расположение всех настроечных резисторов показано на рисунке 2.</w:t>
      </w:r>
      <w:r/>
    </w:p>
    <w:p>
      <w:pPr>
        <w:jc w:val="center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696907</wp:posOffset>
                </wp:positionH>
                <wp:positionV relativeFrom="paragraph">
                  <wp:posOffset>1757009</wp:posOffset>
                </wp:positionV>
                <wp:extent cx="1356144" cy="301925"/>
                <wp:effectExtent l="0" t="0" r="73025" b="79375"/>
                <wp:wrapNone/>
                <wp:docPr id="8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56144" cy="3019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32" type="#_x0000_t32" style="position:absolute;z-index:251768320;o:allowoverlap:true;o:allowincell:true;mso-position-horizontal-relative:text;margin-left:54.87pt;mso-position-horizontal:absolute;mso-position-vertical-relative:text;margin-top:138.35pt;mso-position-vertical:absolute;width:106.78pt;height:23.77pt;mso-wrap-distance-left:9.00pt;mso-wrap-distance-top:0.00pt;mso-wrap-distance-right:9.00pt;mso-wrap-distance-bottom:0.00pt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2051254</wp:posOffset>
                </wp:positionH>
                <wp:positionV relativeFrom="paragraph">
                  <wp:posOffset>1931335</wp:posOffset>
                </wp:positionV>
                <wp:extent cx="258756" cy="244327"/>
                <wp:effectExtent l="19050" t="19050" r="27305" b="22860"/>
                <wp:wrapNone/>
                <wp:docPr id="9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58756" cy="2443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2" type="#_x0000_t2" style="position:absolute;z-index:251767296;o:allowoverlap:true;o:allowincell:true;mso-position-horizontal-relative:text;margin-left:161.52pt;mso-position-horizontal:absolute;mso-position-vertical-relative:text;margin-top:152.07pt;mso-position-vertical:absolute;width:20.37pt;height:19.24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3279213</wp:posOffset>
                </wp:positionH>
                <wp:positionV relativeFrom="paragraph">
                  <wp:posOffset>1504033</wp:posOffset>
                </wp:positionV>
                <wp:extent cx="1628775" cy="441975"/>
                <wp:effectExtent l="38100" t="57150" r="28575" b="34290"/>
                <wp:wrapNone/>
                <wp:docPr id="10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628775" cy="441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32" type="#_x0000_t32" style="position:absolute;z-index:251783680;o:allowoverlap:true;o:allowincell:true;mso-position-horizontal-relative:text;margin-left:258.21pt;mso-position-horizontal:absolute;mso-position-vertical-relative:text;margin-top:118.43pt;mso-position-vertical:absolute;width:128.25pt;height:34.80pt;mso-wrap-distance-left:9.00pt;mso-wrap-distance-top:0.00pt;mso-wrap-distance-right:9.00pt;mso-wrap-distance-bottom:0.00pt;flip:xy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1409715</wp:posOffset>
                </wp:positionV>
                <wp:extent cx="298995" cy="212614"/>
                <wp:effectExtent l="14287" t="14287" r="14287" b="14287"/>
                <wp:wrapNone/>
                <wp:docPr id="11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8995" cy="2126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2" type="#_x0000_t2" style="position:absolute;z-index:251775488;o:allowoverlap:true;o:allowincell:true;mso-position-horizontal-relative:text;margin-left:235.50pt;mso-position-horizontal:absolute;mso-position-vertical-relative:text;margin-top:111.00pt;mso-position-vertical:absolute;width:23.54pt;height:16.74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926864</wp:posOffset>
                </wp:positionV>
                <wp:extent cx="293915" cy="271599"/>
                <wp:effectExtent l="19050" t="19050" r="11430" b="14604"/>
                <wp:wrapNone/>
                <wp:docPr id="12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3915" cy="2715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2" type="#_x0000_t2" style="position:absolute;z-index:251779584;o:allowoverlap:true;o:allowincell:true;mso-position-horizontal-relative:text;margin-left:191.70pt;mso-position-horizontal:absolute;mso-position-vertical-relative:text;margin-top:72.98pt;mso-position-vertical:absolute;width:23.14pt;height:21.39pt;mso-wrap-distance-left:9.00pt;mso-wrap-distance-top:0.00pt;mso-wrap-distance-right:9.00pt;mso-wrap-distance-bottom:0.00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2719763</wp:posOffset>
                </wp:positionH>
                <wp:positionV relativeFrom="paragraph">
                  <wp:posOffset>1063832</wp:posOffset>
                </wp:positionV>
                <wp:extent cx="2180812" cy="45719"/>
                <wp:effectExtent l="19050" t="76200" r="10160" b="50165"/>
                <wp:wrapNone/>
                <wp:docPr id="13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2180812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89E31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32" type="#_x0000_t32" style="position:absolute;z-index:251777536;o:allowoverlap:true;o:allowincell:true;mso-position-horizontal-relative:text;margin-left:214.15pt;mso-position-horizontal:absolute;mso-position-vertical-relative:text;margin-top:83.77pt;mso-position-vertical:absolute;width:171.72pt;height:3.60pt;mso-wrap-distance-left:9.00pt;mso-wrap-distance-top:0.00pt;mso-wrap-distance-right:9.00pt;mso-wrap-distance-bottom:0.00pt;flip:xy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81632" behindDoc="0" locked="0" layoutInCell="1" allowOverlap="1">
                <wp:simplePos x="0" y="0"/>
                <wp:positionH relativeFrom="margin">
                  <wp:posOffset>4905995</wp:posOffset>
                </wp:positionH>
                <wp:positionV relativeFrom="paragraph">
                  <wp:posOffset>1706053</wp:posOffset>
                </wp:positionV>
                <wp:extent cx="509905" cy="499730"/>
                <wp:effectExtent l="0" t="0" r="23495" b="15240"/>
                <wp:wrapNone/>
                <wp:docPr id="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49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R16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R15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8" o:spid="_x0000_s18" o:spt="202" type="#_x0000_t202" style="position:absolute;z-index:251781632;o:allowoverlap:true;o:allowincell:true;mso-position-horizontal-relative:margin;margin-left:386.30pt;mso-position-horizontal:absolute;mso-position-vertical-relative:text;margin-top:134.33pt;mso-position-vertical:absolute;width:40.15pt;height:39.35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R16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R15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73440" behindDoc="0" locked="0" layoutInCell="1" allowOverlap="1">
                <wp:simplePos x="0" y="0"/>
                <wp:positionH relativeFrom="margin">
                  <wp:posOffset>4905995</wp:posOffset>
                </wp:positionH>
                <wp:positionV relativeFrom="paragraph">
                  <wp:posOffset>897979</wp:posOffset>
                </wp:positionV>
                <wp:extent cx="510363" cy="513700"/>
                <wp:effectExtent l="0" t="0" r="23495" b="20320"/>
                <wp:wrapNone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63" cy="51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R18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202" type="#_x0000_t202" style="position:absolute;z-index:251773440;o:allowoverlap:true;o:allowincell:true;mso-position-horizontal-relative:margin;margin-left:386.30pt;mso-position-horizontal:absolute;mso-position-vertical-relative:text;margin-top:70.71pt;mso-position-vertical:absolute;width:40.19pt;height:40.45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R18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69344" behindDoc="0" locked="0" layoutInCell="1" allowOverlap="1">
                <wp:simplePos x="0" y="0"/>
                <wp:positionH relativeFrom="margin">
                  <wp:posOffset>280832</wp:posOffset>
                </wp:positionH>
                <wp:positionV relativeFrom="paragraph">
                  <wp:posOffset>1546565</wp:posOffset>
                </wp:positionV>
                <wp:extent cx="404038" cy="531495"/>
                <wp:effectExtent l="0" t="0" r="15240" b="20955"/>
                <wp:wrapNone/>
                <wp:docPr id="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38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R6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0" o:spid="_x0000_s20" o:spt="202" type="#_x0000_t202" style="position:absolute;z-index:251769344;o:allowoverlap:true;o:allowincell:true;mso-position-horizontal-relative:margin;margin-left:22.11pt;mso-position-horizontal:absolute;mso-position-vertical-relative:text;margin-top:121.78pt;mso-position-vertical:absolute;width:31.81pt;height:41.85pt;mso-wrap-distance-left:9.00pt;mso-wrap-distance-top:3.60pt;mso-wrap-distance-right:9.00pt;mso-wrap-distance-bottom:3.60pt;v-text-anchor:top;visibility:visible;" fillcolor="#FFFFFF" strokecolor="#000000" strokeweight="0.75pt">
                <v:textbox inset="0,0,0,0">
                  <w:txbxContent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R6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27592" cy="2921629"/>
                <wp:effectExtent l="6350" t="6350" r="6350" b="6350"/>
                <wp:docPr id="17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790496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327592" cy="292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62.02pt;height:230.0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76"/>
      </w:pPr>
      <w:r/>
      <w:bookmarkStart w:id="5" w:name="_Hlk182990631"/>
      <w:r>
        <w:t xml:space="preserve">Рисунок 2 – </w:t>
      </w:r>
      <w:bookmarkEnd w:id="5"/>
      <w:r>
        <w:t xml:space="preserve">Расположение всех настроечных резисторов</w:t>
      </w:r>
      <w:r/>
    </w:p>
    <w:p>
      <w:pPr>
        <w:pStyle w:val="930"/>
        <w:ind w:firstLine="709"/>
        <w:pageBreakBefore/>
      </w:pPr>
      <w:r/>
      <w:bookmarkStart w:id="29" w:name="_Toc5"/>
      <w:r>
        <w:t xml:space="preserve">Габаритные размеры МЭК</w:t>
      </w:r>
      <w:bookmarkEnd w:id="29"/>
      <w:r/>
      <w:r/>
    </w:p>
    <w:p>
      <w:pPr>
        <w:ind w:firstLine="709"/>
        <w:spacing w:before="160"/>
        <w:rPr>
          <w:rFonts w:cs="Times New Roman"/>
          <w:highlight w:val="none"/>
        </w:rPr>
      </w:pPr>
      <w:r>
        <w:rPr>
          <w:rFonts w:cs="Times New Roman"/>
        </w:rPr>
        <w:t xml:space="preserve">Габаритные размеры МЭК указаны на рисунке 3.</w:t>
      </w:r>
      <w:r>
        <w:rPr>
          <w:rFonts w:cs="Times New Roman"/>
          <w:highlight w:val="none"/>
        </w:rPr>
      </w:r>
      <w:r>
        <w:rPr>
          <w:rFonts w:cs="Times New Roman"/>
          <w:highlight w:val="none"/>
        </w:rPr>
      </w:r>
    </w:p>
    <w:p>
      <w:pPr>
        <w:ind w:left="0" w:right="0" w:firstLine="0"/>
        <w:spacing w:before="160"/>
        <w:rPr>
          <w:rFonts w:cs="Times New Roman"/>
        </w:rPr>
      </w:pPr>
      <w:r>
        <w:rPr>
          <w:rFonts w:cs="Times New Roman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0666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04132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3860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303.9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76"/>
      </w:pPr>
      <w:r/>
      <w:bookmarkStart w:id="7" w:name="_Hlk182990725"/>
      <w:r>
        <w:t xml:space="preserve">Рисунок 3 – </w:t>
      </w:r>
      <w:bookmarkEnd w:id="7"/>
      <w:r>
        <w:t xml:space="preserve">Габариты МЭК</w:t>
      </w:r>
      <w:r/>
    </w:p>
    <w:p>
      <w:pPr>
        <w:pStyle w:val="930"/>
        <w:ind w:firstLine="709"/>
        <w:pageBreakBefore/>
      </w:pPr>
      <w:r/>
      <w:bookmarkStart w:id="30" w:name="_Toc6"/>
      <w:r>
        <w:t xml:space="preserve">Подключение МЭК к платформе СКИФ</w:t>
      </w:r>
      <w:bookmarkEnd w:id="30"/>
      <w:r/>
      <w:r/>
    </w:p>
    <w:p>
      <w:pPr>
        <w:pStyle w:val="931"/>
        <w:ind w:left="0" w:firstLine="709"/>
      </w:pPr>
      <w:r/>
      <w:bookmarkStart w:id="31" w:name="_Toc7"/>
      <w:r>
        <w:t xml:space="preserve">Физическое подключение к платформе СКИФ</w:t>
      </w:r>
      <w:bookmarkEnd w:id="31"/>
      <w:r/>
      <w:r/>
    </w:p>
    <w:p>
      <w:pPr>
        <w:ind w:firstLine="708"/>
        <w:rPr>
          <w:rFonts w:cs="Times New Roman"/>
        </w:rPr>
      </w:pPr>
      <w:r>
        <w:rPr>
          <w:rFonts w:cs="Times New Roman"/>
        </w:rPr>
        <w:t xml:space="preserve">К модулю MCom-03 на несущей плате Rock </w:t>
      </w:r>
      <w:r>
        <w:rPr>
          <w:rFonts w:cs="Times New Roman"/>
        </w:rPr>
        <w:t xml:space="preserve">Pi</w:t>
      </w:r>
      <w:r>
        <w:rPr>
          <w:rFonts w:cs="Times New Roman"/>
        </w:rPr>
        <w:t xml:space="preserve"> N10 М</w:t>
      </w:r>
      <w:r>
        <w:rPr>
          <w:rFonts w:cs="Times New Roman"/>
        </w:rPr>
        <w:t xml:space="preserve">ЭК подключается к 15-контактному разъёму </w:t>
      </w:r>
      <w:r>
        <w:rPr>
          <w:rFonts w:cs="Times New Roman"/>
          <w:lang w:val="en-US"/>
        </w:rPr>
        <w:t xml:space="preserve">CAM</w:t>
      </w:r>
      <w:r>
        <w:rPr>
          <w:rFonts w:cs="Times New Roman"/>
        </w:rPr>
        <w:t xml:space="preserve">. Для подключения используется стандартный «прямой» шлейф-переходник тип А 22</w:t>
      </w:r>
      <w:r>
        <w:rPr>
          <w:rFonts w:cs="Times New Roman"/>
          <w:lang w:val="en-US"/>
        </w:rPr>
        <w:t xml:space="preserve">pin</w:t>
      </w:r>
      <w:r>
        <w:rPr>
          <w:rFonts w:cs="Times New Roman"/>
        </w:rPr>
        <w:t xml:space="preserve">-</w:t>
      </w:r>
      <w:r>
        <w:rPr>
          <w:rFonts w:cs="Times New Roman"/>
          <w:lang w:val="en-US"/>
        </w:rPr>
        <w:t xml:space="preserve">to</w:t>
      </w:r>
      <w:r>
        <w:rPr>
          <w:rFonts w:cs="Times New Roman"/>
        </w:rPr>
        <w:t xml:space="preserve">-15</w:t>
      </w:r>
      <w:r>
        <w:rPr>
          <w:rFonts w:cs="Times New Roman"/>
          <w:lang w:val="en-US"/>
        </w:rPr>
        <w:t xml:space="preserve">pin</w:t>
      </w:r>
      <w:r>
        <w:rPr>
          <w:rFonts w:cs="Times New Roman"/>
        </w:rPr>
        <w:t xml:space="preserve"> (рис.4), контакты которого размещены на одной плоскости шлейфа. При использовании указанного шлейфа используется режим пер</w:t>
      </w:r>
      <w:r>
        <w:rPr>
          <w:rFonts w:cs="Times New Roman"/>
        </w:rPr>
        <w:t xml:space="preserve">едачи видеоданных по двум линиям (2-</w:t>
      </w:r>
      <w:r>
        <w:rPr>
          <w:rFonts w:cs="Times New Roman"/>
          <w:lang w:val="en-US"/>
        </w:rPr>
        <w:t xml:space="preserve">Lane</w:t>
      </w:r>
      <w:r>
        <w:rPr>
          <w:rFonts w:cs="Times New Roman"/>
        </w:rPr>
        <w:t xml:space="preserve">).</w:t>
      </w:r>
      <w:r>
        <w:rPr>
          <w:rFonts w:cs="Times New Roman"/>
        </w:rPr>
      </w:r>
      <w:r>
        <w:rPr>
          <w:rFonts w:cs="Times New Roman"/>
        </w:rPr>
      </w:r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980"/>
        <w:gridCol w:w="5386"/>
        <w:gridCol w:w="1979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22pin-to-15pin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CAM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 xml:space="preserve">на модуле </w:t>
            </w:r>
            <w:r>
              <w:rPr>
                <w:rFonts w:cs="Times New Roman"/>
                <w:sz w:val="24"/>
                <w:szCs w:val="24"/>
              </w:rPr>
              <w:t xml:space="preserve">MCom-03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00806" cy="542772"/>
                      <wp:effectExtent l="0" t="4445" r="0" b="0"/>
                      <wp:docPr id="19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601256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26.05pt;height:42.74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2332931</wp:posOffset>
                      </wp:positionH>
                      <wp:positionV relativeFrom="paragraph">
                        <wp:posOffset>1483818</wp:posOffset>
                      </wp:positionV>
                      <wp:extent cx="946120" cy="457200"/>
                      <wp:effectExtent l="0" t="0" r="0" b="0"/>
                      <wp:wrapNone/>
                      <wp:docPr id="20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2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контактов шаг 1мм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4" o:spid="_x0000_s24" o:spt="202" type="#_x0000_t202" style="position:absolute;z-index:251645952;o:allowoverlap:true;o:allowincell:true;mso-position-horizontal-relative:text;margin-left:183.70pt;mso-position-horizontal:absolute;mso-position-vertical-relative:text;margin-top:116.84pt;mso-position-vertical:absolute;width:74.50pt;height:36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jc w:val="right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15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контактов шаг 1мм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471805</wp:posOffset>
                      </wp:positionV>
                      <wp:extent cx="897255" cy="371475"/>
                      <wp:effectExtent l="0" t="0" r="0" b="0"/>
                      <wp:wrapNone/>
                      <wp:docPr id="21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254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22 контакта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шаг 0,5мм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5" o:spid="_x0000_s25" o:spt="202" type="#_x0000_t202" style="position:absolute;z-index:251669504;o:allowoverlap:true;o:allowincell:true;mso-position-horizontal-relative:text;margin-left:-0.60pt;mso-position-horizontal:absolute;mso-position-vertical-relative:text;margin-top:37.15pt;mso-position-vertical:absolute;width:70.65pt;height:29.25pt;mso-wrap-distance-left:9.00pt;mso-wrap-distance-top:0.00pt;mso-wrap-distance-right:9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22 контакта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шаг 0,5мм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791210</wp:posOffset>
                      </wp:positionV>
                      <wp:extent cx="3337200" cy="928800"/>
                      <wp:effectExtent l="0" t="0" r="0" b="5080"/>
                      <wp:wrapNone/>
                      <wp:docPr id="22" name="Рисунок 27" descr="Шлей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Шлейф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7200" cy="9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position:absolute;z-index:-251668480;o:allowoverlap:true;o:allowincell:true;mso-position-horizontal-relative:text;margin-left:-0.10pt;mso-position-horizontal:absolute;mso-position-vertical-relative:text;margin-top:62.30pt;mso-position-vertical:absolute;width:262.77pt;height:73.13pt;mso-wrap-distance-left:9.00pt;mso-wrap-distance-top:0.00pt;mso-wrap-distance-right:9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2964" cy="2234837"/>
                      <wp:effectExtent l="0" t="0" r="0" b="0"/>
                      <wp:docPr id="23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Cam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rot="10799989">
                                <a:off x="0" y="0"/>
                                <a:ext cx="842964" cy="22348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66.38pt;height:175.97pt;mso-wrap-distance-left:0.00pt;mso-wrap-distance-top:0.00pt;mso-wrap-distance-right:0.00pt;mso-wrap-distance-bottom:0.00pt;rotation:179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76"/>
      </w:pPr>
      <w:r/>
      <w:bookmarkStart w:id="10" w:name="_Hlk182990870"/>
      <w:r>
        <w:t xml:space="preserve">Рисунок 4 – </w:t>
      </w:r>
      <w:bookmarkEnd w:id="10"/>
      <w:r>
        <w:t xml:space="preserve">Физическое подключение МЭК к модулю MCom-03</w:t>
      </w:r>
      <w:r/>
    </w:p>
    <w:p>
      <w:pPr>
        <w:ind w:firstLine="709"/>
      </w:pPr>
      <w:r>
        <w:t xml:space="preserve">К модулям </w:t>
      </w:r>
      <w:r>
        <w:t xml:space="preserve">PicoS</w:t>
      </w:r>
      <w:r>
        <w:t xml:space="preserve">, </w:t>
      </w:r>
      <w:r>
        <w:t xml:space="preserve">NanoS</w:t>
      </w:r>
      <w:r>
        <w:t xml:space="preserve"> МЭК подключается стандартным «прямым» шлейфом-переходником тип А 22pin-to-22pin, с шагом 0,5 мм (рис.5, рис.6), контакты которого размещены на одной плоскости шлейфа. Подключать МЭК следует</w:t>
      </w:r>
      <w:r>
        <w:t xml:space="preserve"> в разъем CSI0 (XS7) на модуле </w:t>
      </w:r>
      <w:r>
        <w:t xml:space="preserve">PicoS</w:t>
      </w:r>
      <w:r>
        <w:t xml:space="preserve">, в разъем MIPI_CSI0 (XS9) на модуле </w:t>
      </w:r>
      <w:r>
        <w:t xml:space="preserve">NanoS</w:t>
      </w:r>
      <w:r>
        <w:t xml:space="preserve">. При использовании указанного шлейфа используется режим передачи видеоданных по двум либо четырём линиям (2-Lane или 4-Lane) в зависимости от выбранного режима работы МЭК.</w:t>
      </w:r>
      <w:r/>
    </w:p>
    <w:p>
      <w:r>
        <w:br w:type="page" w:clear="all"/>
      </w:r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508"/>
        <w:gridCol w:w="6297"/>
        <w:gridCol w:w="1540"/>
      </w:tblGrid>
      <w:tr>
        <w:tblPrEx/>
        <w:trPr/>
        <w:tc>
          <w:tcPr>
            <w:tcW w:w="155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</w:t>
            </w:r>
            <w:r>
              <w:rPr>
                <w:rFonts w:cs="Times New Roman"/>
                <w:sz w:val="24"/>
                <w:szCs w:val="24"/>
              </w:rPr>
              <w:t xml:space="preserve">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621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шаг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0,5 </w:t>
            </w:r>
            <w:r>
              <w:rPr>
                <w:rFonts w:cs="Times New Roman"/>
                <w:sz w:val="24"/>
                <w:szCs w:val="24"/>
              </w:rPr>
              <w:t xml:space="preserve">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57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cs="Times New Roman"/>
                <w:sz w:val="24"/>
                <w:szCs w:val="24"/>
              </w:rPr>
              <w:t xml:space="preserve">0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 xml:space="preserve">на </w:t>
            </w:r>
            <w:r>
              <w:rPr>
                <w:rFonts w:cs="Times New Roman"/>
                <w:sz w:val="24"/>
                <w:szCs w:val="24"/>
              </w:rPr>
              <w:t xml:space="preserve">модуле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PicoS</w: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555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7002" cy="578779"/>
                      <wp:effectExtent l="6350" t="6350" r="6350" b="6350"/>
                      <wp:docPr id="24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5196860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1707001" cy="5787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34.41pt;height:45.57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6219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1589" cy="324098"/>
                      <wp:effectExtent l="0" t="0" r="0" b="0"/>
                      <wp:docPr id="25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844878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61589" cy="3240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04.06pt;height:25.5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571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1232" cy="2048788"/>
                      <wp:effectExtent l="0" t="0" r="0" b="0"/>
                      <wp:docPr id="26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763714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1232" cy="20487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54.43pt;height:161.32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76"/>
      </w:pPr>
      <w:r/>
      <w:bookmarkStart w:id="11" w:name="_Hlk182991086"/>
      <w:r>
        <w:t xml:space="preserve">Рисунок 5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</w:t>
      </w:r>
      <w:r>
        <w:t xml:space="preserve">PicoS</w:t>
      </w:r>
      <w:bookmarkEnd w:id="11"/>
      <w:r/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429"/>
        <w:gridCol w:w="6297"/>
        <w:gridCol w:w="1619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шаг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0,5 </w:t>
            </w:r>
            <w:r>
              <w:rPr>
                <w:rFonts w:cs="Times New Roman"/>
                <w:sz w:val="24"/>
                <w:szCs w:val="24"/>
              </w:rPr>
              <w:t xml:space="preserve">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MIPI_CSI0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на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модуле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NanoS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075" cy="560494"/>
                      <wp:effectExtent l="6350" t="6350" r="6350" b="6350"/>
                      <wp:docPr id="27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9693327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1653074" cy="5604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30.16pt;height:44.13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1590" cy="324098"/>
                      <wp:effectExtent l="0" t="0" r="0" b="0"/>
                      <wp:docPr id="28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752821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61588" cy="3240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304.06pt;height:25.5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62319" cy="2087793"/>
                      <wp:effectExtent l="0" t="0" r="0" b="0"/>
                      <wp:docPr id="29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09270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2319" cy="20877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60.03pt;height:164.39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76"/>
      </w:pPr>
      <w:r/>
      <w:bookmarkStart w:id="12" w:name="_Hlk182991103"/>
      <w:r>
        <w:t xml:space="preserve">Рисунок 6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</w:t>
      </w:r>
      <w:r>
        <w:t xml:space="preserve">NanoS</w:t>
      </w:r>
      <w:r/>
    </w:p>
    <w:p>
      <w:pPr>
        <w:pStyle w:val="931"/>
        <w:ind w:left="0" w:firstLine="709"/>
      </w:pPr>
      <w:r/>
      <w:bookmarkStart w:id="32" w:name="_Toc8"/>
      <w:r/>
      <w:bookmarkEnd w:id="12"/>
      <w:r>
        <w:t xml:space="preserve">Программное подключение к платформе СКИФ</w:t>
      </w:r>
      <w:bookmarkEnd w:id="32"/>
      <w:r/>
      <w:r/>
    </w:p>
    <w:p>
      <w:pPr>
        <w:ind w:firstLine="709"/>
      </w:pPr>
      <w:r>
        <w:t xml:space="preserve">Проверка подключения и доступности МЭК осуществляется командой:</w:t>
      </w:r>
      <w:r/>
    </w:p>
    <w:p>
      <w:pPr>
        <w:spacing w:before="240" w:after="240"/>
        <w:rPr>
          <w:i/>
          <w:iCs/>
        </w:rPr>
      </w:pPr>
      <w:r>
        <w:rPr>
          <w:i/>
          <w:iCs/>
        </w:rPr>
        <w:t xml:space="preserve">felix-sensor-test</w:t>
      </w:r>
      <w:r>
        <w:rPr>
          <w:i/>
          <w:iCs/>
        </w:rPr>
      </w:r>
      <w:r>
        <w:rPr>
          <w:i/>
          <w:iCs/>
        </w:rPr>
      </w:r>
    </w:p>
    <w:p>
      <w:r>
        <w:t xml:space="preserve">Эта команда проверит подключение всех поддерживаемых платформой МЭК и выведет их статус. Если МЭК правильно определен системой и доступен для </w:t>
      </w:r>
      <w:r>
        <w:t xml:space="preserve">видеозахвата</w:t>
      </w:r>
      <w:r>
        <w:t xml:space="preserve"> ответом на команду будут следующие строки: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IMX662 (v0x9500 imager 0)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...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mode  0</w:t>
      </w:r>
      <w:r>
        <w:rPr>
          <w:i/>
          <w:iCs/>
          <w:lang w:val="en-US"/>
        </w:rPr>
        <w:t xml:space="preserve">:  1936x 1100 @30.</w:t>
      </w:r>
      <w:r>
        <w:rPr>
          <w:i/>
          <w:iCs/>
          <w:lang w:val="en-US"/>
        </w:rPr>
        <w:t xml:space="preserve">00 12bit (total 1980x1250 </w:t>
      </w:r>
      <w:r>
        <w:rPr>
          <w:i/>
          <w:iCs/>
          <w:lang w:val="en-US"/>
        </w:rPr>
        <w:t xml:space="preserve">mipi_lane</w:t>
      </w:r>
      <w:r>
        <w:rPr>
          <w:i/>
          <w:iCs/>
          <w:lang w:val="en-US"/>
        </w:rPr>
        <w:t xml:space="preserve">=4) exposure=(26..1000000) flipping=</w:t>
      </w:r>
      <w:r>
        <w:rPr>
          <w:i/>
          <w:iCs/>
          <w:lang w:val="en-US"/>
        </w:rPr>
        <w:t xml:space="preserve">horizontal|vertical</w:t>
      </w:r>
      <w:r>
        <w:rPr>
          <w:i/>
          <w:iCs/>
          <w:lang w:val="en-US"/>
        </w:rPr>
        <w:t xml:space="preserve"> pixel rate 74.2500 </w:t>
      </w:r>
      <w:r>
        <w:rPr>
          <w:i/>
          <w:iCs/>
          <w:lang w:val="en-US"/>
        </w:rPr>
        <w:t xml:space="preserve">Mpx</w:t>
      </w:r>
      <w:r>
        <w:rPr>
          <w:i/>
          <w:iCs/>
          <w:lang w:val="en-US"/>
        </w:rPr>
        <w:t xml:space="preserve">/s, bit rate 222.7500 </w:t>
      </w:r>
      <w:r>
        <w:rPr>
          <w:i/>
          <w:iCs/>
          <w:lang w:val="en-US"/>
        </w:rPr>
        <w:t xml:space="preserve">Mbits</w:t>
      </w:r>
      <w:r>
        <w:rPr>
          <w:i/>
          <w:iCs/>
          <w:lang w:val="en-US"/>
        </w:rPr>
        <w:t xml:space="preserve">/s (per </w:t>
      </w:r>
      <w:r>
        <w:rPr>
          <w:i/>
          <w:iCs/>
          <w:lang w:val="en-US"/>
        </w:rPr>
        <w:t xml:space="preserve">mipi</w:t>
      </w:r>
      <w:r>
        <w:rPr>
          <w:i/>
          <w:iCs/>
          <w:lang w:val="en-US"/>
        </w:rPr>
        <w:t xml:space="preserve"> lane)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</w:rPr>
      </w:pPr>
      <w:r>
        <w:rPr>
          <w:i/>
          <w:iCs/>
        </w:rPr>
        <w:t xml:space="preserve">...</w:t>
      </w:r>
      <w:r>
        <w:rPr>
          <w:i/>
          <w:iCs/>
        </w:rPr>
      </w:r>
      <w:r>
        <w:rPr>
          <w:i/>
          <w:iCs/>
        </w:rPr>
      </w:r>
    </w:p>
    <w:p>
      <w:r>
        <w:t xml:space="preserve">В случае, если МЭК не определен системой, то для него ответ на команду </w:t>
      </w:r>
      <w:r>
        <w:t xml:space="preserve">felix-sensor-test</w:t>
      </w:r>
      <w:r>
        <w:t xml:space="preserve"> буде</w:t>
      </w:r>
      <w:r>
        <w:t xml:space="preserve">т следующим: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IMX662 - no modes display available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ind w:firstLine="709"/>
        <w:rPr>
          <w:highlight w:val="none"/>
        </w:rPr>
      </w:pPr>
      <w:r>
        <w:t xml:space="preserve">Для запуска видеотрансляции из МЭК с выводом изображения на монитор через HDMI необходимо подать команду:</w:t>
      </w:r>
      <w:r>
        <w:rPr>
          <w:highlight w:val="none"/>
        </w:rPr>
      </w:r>
      <w:r>
        <w:rPr>
          <w:highlight w:val="none"/>
        </w:rPr>
      </w:r>
    </w:p>
    <w:p>
      <w:pPr>
        <w:pStyle w:val="1185"/>
        <w:ind w:firstLine="0"/>
        <w:spacing w:line="360" w:lineRule="auto"/>
        <w:rPr>
          <w:bCs/>
          <w:i/>
          <w:highlight w:val="none"/>
          <w:lang w:val="en-US"/>
          <w14:ligatures w14:val="none"/>
        </w:rPr>
      </w:pPr>
      <w:r>
        <w:rPr>
          <w:i/>
          <w:iCs/>
          <w:highlight w:val="none"/>
        </w:rPr>
      </w:r>
      <w:r>
        <w:rPr>
          <w:i/>
          <w:iCs/>
          <w:highlight w:val="none"/>
        </w:rPr>
        <w:t xml:space="preserve">gst-launch-1.0 felixsrc setup-file=/etc/felix/imx662/imx662.cfg sensor=IMX662 sensor-mode=0 exposure-auto=true exposure-auto-max-time=60000 exposure-auto-min-time=10 exposure-auto-priority=1 awb-enable=true awb-algorithm=pid awb-mode=high-lum preenq-buffer</w:t>
      </w:r>
      <w:r>
        <w:rPr>
          <w:i/>
          <w:iCs/>
          <w:highlight w:val="none"/>
        </w:rPr>
        <w:t xml:space="preserve">s=1 use-dmabuf=true restart-on-error=true alloc-buffers=6 ! video/x-raw,format=BGR,width=1920,height=1080 ! queue \</w:t>
        <w:br/>
        <w:t xml:space="preserve">! fpsdisplaysink video-sink="kmssink driver-name=mali-dp max-lateness=-1 force-modesetting=true" -v 2&gt;&amp;1</w:t>
      </w:r>
      <w:r>
        <w:rPr>
          <w:bCs/>
          <w:i/>
          <w:highlight w:val="none"/>
          <w:lang w:val="en-US"/>
          <w14:ligatures w14:val="none"/>
        </w:rPr>
      </w:r>
      <w:r>
        <w:rPr>
          <w:bCs/>
          <w:i/>
          <w:highlight w:val="none"/>
          <w:lang w:val="en-US"/>
          <w14:ligatures w14:val="none"/>
        </w:rPr>
      </w:r>
    </w:p>
    <w:p>
      <w:pPr>
        <w:rPr>
          <w:highlight w:val="none"/>
        </w:rPr>
      </w:pPr>
      <w:r>
        <w:t xml:space="preserve">Чтобы прервать видеотрансляцию нажмите комбинацию клавиш “Ctrl” + “C”. После остановки команды в терминале выведется FPS видеотрансляции (количество потерянных кадров, моментальное и среднее значения).</w:t>
      </w:r>
      <w:r>
        <w:rPr>
          <w:highlight w:val="none"/>
        </w:rPr>
      </w:r>
      <w:r>
        <w:rPr>
          <w:highlight w:val="none"/>
        </w:rPr>
      </w:r>
    </w:p>
    <w:p>
      <w:pPr>
        <w:pStyle w:val="1183"/>
        <w:spacing w:line="360" w:lineRule="auto"/>
        <w:rPr>
          <w:highlight w:val="none"/>
        </w:rPr>
      </w:pPr>
      <w:r>
        <w:rPr>
          <w:highlight w:val="none"/>
        </w:rPr>
        <w:t xml:space="preserve">Для вывода свойств элемента felixsrc воспользуйтесь описанной ниже командой. У данных свойств будет описан тип значения, значение установленное по умолчанию и диапазон возможных принимаемых значений:</w:t>
      </w:r>
      <w:r>
        <w:rPr>
          <w:highlight w:val="none"/>
        </w:rPr>
      </w:r>
      <w:r>
        <w:rPr>
          <w:highlight w:val="none"/>
        </w:rPr>
      </w:r>
    </w:p>
    <w:p>
      <w:pPr>
        <w:pStyle w:val="1183"/>
        <w:ind w:firstLine="0"/>
        <w:spacing w:line="360" w:lineRule="auto"/>
      </w:pPr>
      <w:r>
        <w:rPr>
          <w:highlight w:val="none"/>
        </w:rPr>
        <w:t xml:space="preserve"> </w:t>
      </w:r>
      <w:r>
        <w:rPr>
          <w:i/>
          <w:iCs/>
          <w:highlight w:val="none"/>
        </w:rPr>
        <w:t xml:space="preserve">gst-inspect-1.0 felixsrc</w:t>
      </w:r>
      <w:r/>
    </w:p>
    <w:p>
      <w:pPr>
        <w:pStyle w:val="1178"/>
      </w:pPr>
      <w:r>
        <w:t xml:space="preserve">Параметр </w:t>
      </w:r>
      <w:r>
        <w:t xml:space="preserve">sensor-mode</w:t>
      </w:r>
      <w:r>
        <w:t xml:space="preserve"> должен с</w:t>
      </w:r>
      <w:r>
        <w:t xml:space="preserve">оответствовать разрешению устройства </w:t>
      </w:r>
      <w:r>
        <w:t xml:space="preserve">видеовывода</w:t>
      </w:r>
      <w:r>
        <w:t xml:space="preserve">. Для вывода доступных режимов устройства </w:t>
      </w:r>
      <w:r>
        <w:t xml:space="preserve">видеовывода</w:t>
      </w:r>
      <w:r>
        <w:t xml:space="preserve"> можно воспользоваться командой:</w:t>
      </w:r>
      <w:r/>
    </w:p>
    <w:p>
      <w:pPr>
        <w:spacing w:before="240" w:after="240"/>
      </w:pPr>
      <w:r>
        <w:rPr>
          <w:i/>
        </w:rPr>
        <w:t xml:space="preserve">modetest</w:t>
      </w:r>
      <w:r>
        <w:rPr>
          <w:i/>
        </w:rPr>
        <w:t xml:space="preserve"> -M </w:t>
      </w:r>
      <w:r>
        <w:rPr>
          <w:i/>
        </w:rPr>
        <w:t xml:space="preserve">mali-dp</w:t>
      </w:r>
      <w:r>
        <w:rPr>
          <w:i/>
        </w:rPr>
        <w:t xml:space="preserve"> -c</w:t>
      </w:r>
      <w:r/>
    </w:p>
    <w:p>
      <w:r>
        <w:t xml:space="preserve">Для принудительного масштабирования захватываемого видео под устройство </w:t>
      </w:r>
      <w:r>
        <w:t xml:space="preserve">видеовывода</w:t>
      </w:r>
      <w:r>
        <w:t xml:space="preserve"> можно задать ра</w:t>
      </w:r>
      <w:r>
        <w:t xml:space="preserve">зрешение видеопотока для вывода, например: </w:t>
      </w:r>
      <w:r/>
    </w:p>
    <w:p>
      <w:pPr>
        <w:rPr>
          <w:lang w:val="en-US"/>
        </w:rPr>
      </w:pPr>
      <w:r>
        <w:rPr>
          <w:i/>
          <w:lang w:val="en-US"/>
        </w:rPr>
        <w:t xml:space="preserve">video/x-</w:t>
      </w:r>
      <w:r>
        <w:rPr>
          <w:i/>
          <w:lang w:val="en-US"/>
        </w:rPr>
        <w:t xml:space="preserve">raw,format</w:t>
      </w:r>
      <w:r>
        <w:rPr>
          <w:i/>
          <w:lang w:val="en-US"/>
        </w:rPr>
        <w:t xml:space="preserve">=</w:t>
      </w:r>
      <w:r>
        <w:rPr>
          <w:i/>
          <w:lang w:val="en-US"/>
        </w:rPr>
        <w:t xml:space="preserve">BGRx,width</w:t>
      </w:r>
      <w:r>
        <w:rPr>
          <w:i/>
          <w:lang w:val="en-US"/>
        </w:rPr>
        <w:t xml:space="preserve">=1920,height=1080</w:t>
      </w:r>
      <w:r>
        <w:rPr>
          <w:lang w:val="en-US"/>
        </w:rPr>
      </w:r>
      <w:r>
        <w:rPr>
          <w:lang w:val="en-US"/>
        </w:rPr>
      </w:r>
    </w:p>
    <w:p>
      <w:pPr>
        <w:pStyle w:val="1178"/>
        <w:rPr>
          <w:rStyle w:val="1134"/>
          <w:rFonts w:cs="Times New Roman"/>
          <w:color w:val="000000"/>
          <w:szCs w:val="28"/>
        </w:rPr>
      </w:pPr>
      <w:r>
        <w:rPr>
          <w:rStyle w:val="1134"/>
          <w:rFonts w:cs="Times New Roman"/>
          <w:color w:val="000000"/>
          <w:szCs w:val="28"/>
        </w:rPr>
        <w:t xml:space="preserve">Режимы работы МЭК с порядковым номером 0, 1, 2 гарантируют 30FPS при выводе изображения на экран с разрешением </w:t>
      </w:r>
      <w:r>
        <w:rPr>
          <w:rStyle w:val="1134"/>
          <w:rFonts w:cs="Times New Roman"/>
          <w:color w:val="000000"/>
          <w:szCs w:val="28"/>
          <w:lang w:val="en-US"/>
        </w:rPr>
        <w:t xml:space="preserve">Full</w:t>
      </w:r>
      <w:r>
        <w:rPr>
          <w:rStyle w:val="1134"/>
          <w:rFonts w:cs="Times New Roman"/>
          <w:color w:val="000000"/>
          <w:szCs w:val="28"/>
        </w:rPr>
        <w:t xml:space="preserve"> </w:t>
      </w:r>
      <w:r>
        <w:rPr>
          <w:rStyle w:val="1134"/>
          <w:rFonts w:cs="Times New Roman"/>
          <w:color w:val="000000"/>
          <w:szCs w:val="28"/>
          <w:lang w:val="en-US"/>
        </w:rPr>
        <w:t xml:space="preserve">HD</w:t>
      </w:r>
      <w:r>
        <w:rPr>
          <w:rStyle w:val="1134"/>
          <w:rFonts w:cs="Times New Roman"/>
          <w:color w:val="000000"/>
          <w:szCs w:val="28"/>
        </w:rPr>
        <w:t xml:space="preserve">. Порядковый номер режима определяется командой</w:t>
      </w:r>
      <w:r>
        <w:rPr>
          <w:rStyle w:val="1134"/>
          <w:rFonts w:cs="Times New Roman"/>
          <w:color w:val="000000"/>
          <w:szCs w:val="28"/>
        </w:rPr>
        <w:t xml:space="preserve"> </w:t>
      </w:r>
      <w:r>
        <w:rPr>
          <w:rStyle w:val="1134"/>
          <w:rFonts w:cs="Times New Roman"/>
          <w:color w:val="000000"/>
          <w:szCs w:val="28"/>
        </w:rPr>
        <w:t xml:space="preserve">felix-sensor-test</w:t>
      </w:r>
      <w:r>
        <w:rPr>
          <w:rStyle w:val="1134"/>
          <w:rFonts w:cs="Times New Roman"/>
          <w:color w:val="000000"/>
          <w:szCs w:val="28"/>
        </w:rPr>
        <w:t xml:space="preserve">.</w:t>
      </w:r>
      <w:r>
        <w:rPr>
          <w:rStyle w:val="1134"/>
          <w:rFonts w:cs="Times New Roman"/>
          <w:color w:val="000000"/>
          <w:szCs w:val="28"/>
        </w:rPr>
      </w:r>
      <w:r>
        <w:rPr>
          <w:rStyle w:val="1134"/>
          <w:rFonts w:cs="Times New Roman"/>
          <w:color w:val="000000"/>
          <w:szCs w:val="28"/>
        </w:rPr>
      </w:r>
    </w:p>
    <w:p>
      <w:pPr>
        <w:pStyle w:val="1177"/>
        <w:ind w:firstLine="709"/>
      </w:pPr>
      <w:r>
        <w:t xml:space="preserve">Таблица 4. Характеристики поддерживаемых режимов МЭК </w:t>
      </w:r>
      <w:r/>
    </w:p>
    <w:tbl>
      <w:tblPr>
        <w:tblStyle w:val="1107"/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418"/>
        <w:gridCol w:w="992"/>
        <w:gridCol w:w="1423"/>
        <w:gridCol w:w="1134"/>
        <w:gridCol w:w="2268"/>
      </w:tblGrid>
      <w:tr>
        <w:tblPrEx/>
        <w:trPr>
          <w:jc w:val="center"/>
          <w:trHeight w:val="561"/>
        </w:trPr>
        <w:tc>
          <w:tcPr>
            <w:shd w:val="clear" w:color="auto" w:fill="dcf8df"/>
            <w:tcW w:w="42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№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Разрешение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Разрядность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Частота (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fps</w:t>
            </w:r>
            <w:r>
              <w:rPr>
                <w:rFonts w:cs="Times New Roman"/>
                <w:b/>
                <w:sz w:val="20"/>
                <w:szCs w:val="20"/>
              </w:rPr>
              <w:t xml:space="preserve">)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2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Количество линий MIPI-CSI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Скорость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Mbps/lane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Описание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69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1920х1080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594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1920х1080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594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1920х1080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10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90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720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24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</w:tbl>
    <w:p>
      <w:pPr>
        <w:ind w:firstLine="709"/>
      </w:pPr>
      <w:r/>
      <w:r/>
    </w:p>
    <w:p>
      <w:pPr>
        <w:ind w:firstLine="709"/>
      </w:pPr>
      <w:r>
        <w:t xml:space="preserve">Для запуска потоковой передачи видео из МЭК по протоколу RTSP необходимо подать следующую команду:</w:t>
      </w:r>
      <w:r/>
    </w:p>
    <w:p>
      <w:pPr>
        <w:spacing w:before="240" w:after="240"/>
        <w:rPr>
          <w:lang w:val="en-US"/>
        </w:rPr>
      </w:pPr>
      <w:r>
        <w:rPr>
          <w:i/>
          <w:lang w:val="en-US"/>
        </w:rPr>
        <w:t xml:space="preserve">gst</w:t>
      </w:r>
      <w:r>
        <w:rPr>
          <w:i/>
          <w:lang w:val="en-US"/>
        </w:rPr>
        <w:t xml:space="preserve">-</w:t>
      </w:r>
      <w:r>
        <w:rPr>
          <w:i/>
          <w:lang w:val="en-US"/>
        </w:rPr>
        <w:t xml:space="preserve">rtsp</w:t>
      </w:r>
      <w:r>
        <w:rPr>
          <w:i/>
          <w:lang w:val="en-US"/>
        </w:rPr>
        <w:t xml:space="preserve">-test-launch "</w:t>
      </w:r>
      <w:r>
        <w:rPr>
          <w:i/>
          <w:lang w:val="en-US"/>
        </w:rPr>
        <w:t xml:space="preserve">felixsrc</w:t>
      </w:r>
      <w:r>
        <w:rPr>
          <w:i/>
          <w:lang w:val="en-US"/>
        </w:rPr>
        <w:t xml:space="preserve"> setup-file=/</w:t>
      </w:r>
      <w:r>
        <w:rPr>
          <w:i/>
          <w:lang w:val="en-US"/>
        </w:rPr>
        <w:t xml:space="preserve">etc</w:t>
      </w:r>
      <w:r>
        <w:rPr>
          <w:i/>
          <w:lang w:val="en-US"/>
        </w:rPr>
        <w:t xml:space="preserve">/</w:t>
      </w:r>
      <w:r>
        <w:rPr>
          <w:i/>
          <w:lang w:val="en-US"/>
        </w:rPr>
        <w:t xml:space="preserve">felix</w:t>
      </w:r>
      <w:r>
        <w:rPr>
          <w:i/>
          <w:lang w:val="en-US"/>
        </w:rPr>
        <w:t xml:space="preserve">/imx662/imx662.cfg sensor=IMX662 sensor-mode=0 </w:t>
      </w:r>
      <w:r>
        <w:rPr>
          <w:i/>
          <w:lang w:val="en-US"/>
        </w:rPr>
        <w:t xml:space="preserve">alloc</w:t>
      </w:r>
      <w:r>
        <w:rPr>
          <w:i/>
          <w:lang w:val="en-US"/>
        </w:rPr>
        <w:t xml:space="preserve">-buffers=10 </w:t>
      </w:r>
      <w:r>
        <w:rPr>
          <w:i/>
          <w:lang w:val="en-US"/>
        </w:rPr>
        <w:t xml:space="preserve">buf</w:t>
      </w:r>
      <w:r>
        <w:rPr>
          <w:i/>
          <w:lang w:val="en-US"/>
        </w:rPr>
        <w:t xml:space="preserve">-mode=query exposure-auto=true </w:t>
      </w:r>
      <w:r>
        <w:rPr>
          <w:i/>
          <w:lang w:val="en-US"/>
        </w:rPr>
        <w:t xml:space="preserve">awb</w:t>
      </w:r>
      <w:r>
        <w:rPr>
          <w:i/>
          <w:lang w:val="en-US"/>
        </w:rPr>
        <w:t xml:space="preserve">-en</w:t>
      </w:r>
      <w:r>
        <w:rPr>
          <w:i/>
          <w:lang w:val="en-US"/>
        </w:rPr>
        <w:t xml:space="preserve">able=true </w:t>
      </w:r>
      <w:r>
        <w:rPr>
          <w:i/>
          <w:lang w:val="en-US"/>
        </w:rPr>
        <w:t xml:space="preserve">awb</w:t>
      </w:r>
      <w:r>
        <w:rPr>
          <w:i/>
          <w:lang w:val="en-US"/>
        </w:rPr>
        <w:t xml:space="preserve">-algorithm=</w:t>
      </w:r>
      <w:r>
        <w:rPr>
          <w:i/>
          <w:lang w:val="en-US"/>
        </w:rPr>
        <w:t xml:space="preserve">pid</w:t>
      </w:r>
      <w:r>
        <w:rPr>
          <w:i/>
          <w:lang w:val="en-US"/>
        </w:rPr>
        <w:t xml:space="preserve"> </w:t>
      </w:r>
      <w:r>
        <w:rPr>
          <w:i/>
          <w:lang w:val="en-US"/>
        </w:rPr>
        <w:t xml:space="preserve">awb</w:t>
      </w:r>
      <w:r>
        <w:rPr>
          <w:i/>
          <w:lang w:val="en-US"/>
        </w:rPr>
        <w:t xml:space="preserve">-mode=high-</w:t>
      </w:r>
      <w:r>
        <w:rPr>
          <w:i/>
          <w:lang w:val="en-US"/>
        </w:rPr>
        <w:t xml:space="preserve">lum</w:t>
      </w:r>
      <w:r>
        <w:rPr>
          <w:i/>
          <w:lang w:val="en-US"/>
        </w:rPr>
        <w:t xml:space="preserve"> !</w:t>
      </w:r>
      <w:r>
        <w:rPr>
          <w:i/>
          <w:lang w:val="en-US"/>
        </w:rPr>
        <w:t xml:space="preserve"> queue max-size-buffers=1 ! video/x-</w:t>
      </w:r>
      <w:r>
        <w:rPr>
          <w:i/>
          <w:lang w:val="en-US"/>
        </w:rPr>
        <w:t xml:space="preserve">raw,format</w:t>
      </w:r>
      <w:r>
        <w:rPr>
          <w:i/>
          <w:lang w:val="en-US"/>
        </w:rPr>
        <w:t xml:space="preserve">=NV12 ! omxh264enc control-rate=constant target-bitrate=10000000 ! rtph264pay name=pay0 </w:t>
      </w:r>
      <w:r>
        <w:rPr>
          <w:i/>
          <w:lang w:val="en-US"/>
        </w:rPr>
        <w:t xml:space="preserve">pt</w:t>
      </w:r>
      <w:r>
        <w:rPr>
          <w:i/>
          <w:lang w:val="en-US"/>
        </w:rPr>
        <w:t xml:space="preserve">=96"</w:t>
      </w:r>
      <w:r>
        <w:rPr>
          <w:lang w:val="en-US"/>
        </w:rPr>
      </w:r>
      <w:r>
        <w:rPr>
          <w:lang w:val="en-US"/>
        </w:rPr>
      </w:r>
    </w:p>
    <w:p>
      <w:r>
        <w:t xml:space="preserve">В консоль процессорного модуля будет выведено сообщение:</w:t>
      </w:r>
      <w:r/>
    </w:p>
    <w:p>
      <w:r>
        <w:rPr>
          <w:i/>
        </w:rPr>
        <w:t xml:space="preserve">stream</w:t>
      </w:r>
      <w:r>
        <w:rPr>
          <w:i/>
        </w:rPr>
        <w:t xml:space="preserve"> </w:t>
      </w:r>
      <w:r>
        <w:rPr>
          <w:i/>
        </w:rPr>
        <w:t xml:space="preserve">read</w:t>
      </w:r>
      <w:r>
        <w:rPr>
          <w:i/>
        </w:rPr>
        <w:t xml:space="preserve">y</w:t>
      </w:r>
      <w:r>
        <w:rPr>
          <w:i/>
        </w:rPr>
        <w:t xml:space="preserve"> </w:t>
      </w:r>
      <w:r>
        <w:rPr>
          <w:i/>
        </w:rPr>
        <w:t xml:space="preserve">at</w:t>
      </w:r>
      <w:r>
        <w:rPr>
          <w:i/>
        </w:rPr>
        <w:t xml:space="preserve"> rtsp://127.0.0.1:8554/test</w:t>
      </w:r>
      <w:r/>
    </w:p>
    <w:p>
      <w:r>
        <w:t xml:space="preserve">Для приёма и вывода видео на ПК необходимо подать команду </w:t>
      </w:r>
      <w:r>
        <w:t xml:space="preserve">ffplay</w:t>
      </w:r>
      <w:r>
        <w:t xml:space="preserve"> в формате:</w:t>
      </w:r>
      <w:r/>
    </w:p>
    <w:p>
      <w:r>
        <w:rPr>
          <w:i/>
        </w:rPr>
        <w:t xml:space="preserve">ffplay</w:t>
      </w:r>
      <w:r>
        <w:rPr>
          <w:i/>
        </w:rPr>
        <w:t xml:space="preserve"> rtsp://&lt;module-address&gt;:8554/test</w:t>
      </w:r>
      <w:r/>
    </w:p>
    <w:p>
      <w:r>
        <w:t xml:space="preserve">где &lt;</w:t>
      </w:r>
      <w:r>
        <w:t xml:space="preserve">module-address</w:t>
      </w:r>
      <w:r>
        <w:t xml:space="preserve">&gt; </w:t>
      </w:r>
      <w:r>
        <w:t xml:space="preserve">- это</w:t>
      </w:r>
      <w:r>
        <w:t xml:space="preserve"> IP-адрес процессорного модуля.</w:t>
      </w:r>
      <w:r/>
    </w:p>
    <w:p>
      <w:pPr>
        <w:pStyle w:val="930"/>
        <w:ind w:firstLine="709"/>
        <w:pageBreakBefore/>
        <w:rPr>
          <w:b/>
          <w:bCs w:val="0"/>
        </w:rPr>
      </w:pPr>
      <w:r/>
      <w:bookmarkStart w:id="33" w:name="_Toc9"/>
      <w:r>
        <w:t xml:space="preserve">Подключение МЭК </w:t>
      </w:r>
      <w:r>
        <w:t xml:space="preserve">к </w:t>
      </w:r>
      <w:r>
        <w:t xml:space="preserve">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3588</w:t>
      </w:r>
      <w:bookmarkEnd w:id="33"/>
      <w:r>
        <w:rPr>
          <w:b/>
          <w:bCs w:val="0"/>
        </w:rPr>
      </w:r>
      <w:r>
        <w:rPr>
          <w:b/>
          <w:bCs w:val="0"/>
        </w:rPr>
      </w:r>
    </w:p>
    <w:p>
      <w:pPr>
        <w:pStyle w:val="931"/>
        <w:ind w:left="0" w:firstLine="709"/>
      </w:pPr>
      <w:r/>
      <w:bookmarkStart w:id="34" w:name="_Toc10"/>
      <w:r>
        <w:t xml:space="preserve">Физическое подключение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</w:t>
      </w:r>
      <w:r>
        <w:t xml:space="preserve">FireFly</w:t>
      </w:r>
      <w:bookmarkEnd w:id="34"/>
      <w:r/>
      <w:r/>
    </w:p>
    <w:p>
      <w:pPr>
        <w:pStyle w:val="1178"/>
      </w:pPr>
      <w:r>
        <w:t xml:space="preserve">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МЭК подключается стандартным «обратным» 22-контактным </w:t>
      </w:r>
      <w:r>
        <w:rPr>
          <w:lang w:val="en-US"/>
        </w:rPr>
        <w:t xml:space="preserve">FPC</w:t>
      </w:r>
      <w:r>
        <w:t xml:space="preserve">-шлейфом (тип В), контакты которого размещены на разных плоскостях шлейфа, через специальный адаптер </w:t>
      </w:r>
      <w:r>
        <w:rPr>
          <w:lang w:val="en-US"/>
        </w:rPr>
        <w:t xml:space="preserve">DS</w:t>
      </w:r>
      <w:r>
        <w:t xml:space="preserve">-</w:t>
      </w:r>
      <w:r>
        <w:rPr>
          <w:lang w:val="en-US"/>
        </w:rPr>
        <w:t xml:space="preserve">ADP</w:t>
      </w:r>
      <w:r>
        <w:t xml:space="preserve">1 (МРЦН.</w:t>
      </w:r>
      <w:r>
        <w:rPr>
          <w:lang w:val="en-US"/>
        </w:rPr>
        <w:t xml:space="preserve">ADP</w:t>
      </w:r>
      <w:r>
        <w:t xml:space="preserve">.5</w:t>
      </w:r>
      <w:r>
        <w:t xml:space="preserve">0.001) и далее стандартным «прямым» 30-контактным FPC-шлейфом (тип А), контакты которого размещены на одной плоскости шлейфа, к разъёму J4701 (MIPI_</w:t>
      </w:r>
      <w:r>
        <w:rPr>
          <w:lang w:val="en-US"/>
        </w:rPr>
        <w:t xml:space="preserve">CSIO</w:t>
      </w:r>
      <w:r>
        <w:t xml:space="preserve">) платы </w:t>
      </w:r>
      <w:r>
        <w:t xml:space="preserve">FireFly</w:t>
      </w:r>
      <w:r>
        <w:t xml:space="preserve"> (рис.7). При таком подключении используется режим передачи видеоданных по двум либо четы</w:t>
      </w:r>
      <w:r>
        <w:t xml:space="preserve">рём линиям (2-</w:t>
      </w:r>
      <w:r>
        <w:rPr>
          <w:lang w:val="en-US"/>
        </w:rPr>
        <w:t xml:space="preserve">Lane</w:t>
      </w:r>
      <w:r>
        <w:t xml:space="preserve"> или 4-</w:t>
      </w:r>
      <w:r>
        <w:rPr>
          <w:lang w:val="en-US"/>
        </w:rPr>
        <w:t xml:space="preserve">Lane</w:t>
      </w:r>
      <w:r>
        <w:t xml:space="preserve">) в зависимости от настроек внутренних регистров МЭК и драйвера операционной системы модуля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.</w:t>
      </w:r>
      <w:r/>
    </w:p>
    <w:tbl>
      <w:tblPr>
        <w:tblStyle w:val="110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9"/>
        <w:gridCol w:w="2250"/>
        <w:gridCol w:w="1932"/>
        <w:gridCol w:w="2508"/>
        <w:gridCol w:w="1106"/>
      </w:tblGrid>
      <w:tr>
        <w:tblPrEx/>
        <w:trPr>
          <w:jc w:val="center"/>
          <w:trHeight w:val="1119"/>
        </w:trPr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CSIO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sz w:val="24"/>
                <w:szCs w:val="24"/>
                <w:lang w:val="en-US"/>
              </w:rPr>
              <w:t xml:space="preserve">ROC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RK</w:t>
            </w:r>
            <w:r>
              <w:rPr>
                <w:sz w:val="24"/>
                <w:szCs w:val="24"/>
              </w:rPr>
              <w:t xml:space="preserve">3588</w:t>
            </w:r>
            <w:r>
              <w:rPr>
                <w:sz w:val="24"/>
                <w:szCs w:val="24"/>
                <w:lang w:val="en-US"/>
              </w:rPr>
              <w:t xml:space="preserve">S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PC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5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A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sz w:val="24"/>
                <w:szCs w:val="24"/>
                <w:lang w:val="en-US" w:eastAsia="ru-RU"/>
              </w:rPr>
            </w:r>
            <w:r>
              <w:rPr>
                <w:sz w:val="24"/>
                <w:szCs w:val="24"/>
                <w:lang w:val="en-US" w:eastAsia="ru-RU"/>
              </w:rPr>
            </w:r>
          </w:p>
        </w:tc>
        <w:tc>
          <w:tcPr>
            <w:tcW w:w="250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1254760</wp:posOffset>
                      </wp:positionV>
                      <wp:extent cx="403860" cy="304800"/>
                      <wp:effectExtent l="0" t="0" r="0" b="0"/>
                      <wp:wrapNone/>
                      <wp:docPr id="30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4" o:spid="_x0000_s34" o:spt="202" type="#_x0000_t202" style="position:absolute;z-index:251675136;o:allowoverlap:true;o:allowincell:true;mso-position-horizontal-relative:text;margin-left:23.00pt;mso-position-horizontal:absolute;mso-position-vertical-relative:text;margin-top:98.80pt;mso-position-vertical:absolute;width:31.80pt;height:24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381152</wp:posOffset>
                      </wp:positionV>
                      <wp:extent cx="304800" cy="279400"/>
                      <wp:effectExtent l="0" t="0" r="0" b="6350"/>
                      <wp:wrapNone/>
                      <wp:docPr id="3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5" o:spid="_x0000_s35" o:spt="202" type="#_x0000_t202" style="position:absolute;z-index:251724288;o:allowoverlap:true;o:allowincell:true;mso-position-horizontal-relative:text;margin-left:26.90pt;mso-position-horizontal:absolute;mso-position-vertical-relative:text;margin-top:30.01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77240" cy="2152357"/>
                      <wp:effectExtent l="0" t="0" r="3810" b="635"/>
                      <wp:docPr id="32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CSIO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240" cy="21523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61.20pt;height:169.48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250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5565" cy="743585"/>
                      <wp:effectExtent l="0" t="0" r="6985" b="0"/>
                      <wp:docPr id="33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565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05.95pt;height:58.5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52"/>
                      <wp:effectExtent l="0" t="0" r="0" b="635"/>
                      <wp:docPr id="34" name="Рисунок 8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3632" cy="1395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85.80pt;height:109.45pt;mso-wrap-distance-left:0.00pt;mso-wrap-distance-top:0.00pt;mso-wrap-distance-right:0.00pt;mso-wrap-distance-bottom:0.0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508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20" cy="823623"/>
                      <wp:effectExtent l="0" t="0" r="0" b="0"/>
                      <wp:docPr id="35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43867" cy="930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14.60pt;height:64.85pt;mso-wrap-distance-left:0.00pt;mso-wrap-distance-top:0.00pt;mso-wrap-distance-right:0.00pt;mso-wrap-distance-bottom:0.00pt;rotation:180;flip:y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0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209862</wp:posOffset>
                      </wp:positionV>
                      <wp:extent cx="403860" cy="281940"/>
                      <wp:effectExtent l="0" t="0" r="0" b="3810"/>
                      <wp:wrapNone/>
                      <wp:docPr id="36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0" o:spid="_x0000_s40" o:spt="202" type="#_x0000_t202" style="position:absolute;z-index:251756032;o:allowoverlap:true;o:allowincell:true;mso-position-horizontal-relative:text;margin-left:6.35pt;mso-position-horizontal:absolute;mso-position-vertical-relative:text;margin-top:16.52pt;mso-position-vertical:absolute;width:31.80pt;height:22.2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1109486</wp:posOffset>
                      </wp:positionV>
                      <wp:extent cx="304800" cy="279400"/>
                      <wp:effectExtent l="0" t="0" r="0" b="6350"/>
                      <wp:wrapNone/>
                      <wp:docPr id="37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1" o:spid="_x0000_s41" o:spt="202" type="#_x0000_t202" style="position:absolute;z-index:251639296;o:allowoverlap:true;o:allowincell:true;mso-position-horizontal-relative:text;margin-left:6.35pt;mso-position-horizontal:absolute;mso-position-vertical-relative:text;margin-top:87.36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075" cy="560494"/>
                      <wp:effectExtent l="0" t="0" r="0" b="0"/>
                      <wp:docPr id="38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8918224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32" flipH="0" flipV="0">
                                <a:off x="0" y="0"/>
                                <a:ext cx="1653075" cy="560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30.16pt;height:44.13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pStyle w:val="1176"/>
        <w:rPr>
          <w:b/>
        </w:rPr>
      </w:pPr>
      <w:r>
        <w:t xml:space="preserve">Рисунок 7 – Физическое подключение МЭК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rPr>
          <w:b/>
        </w:rPr>
      </w:r>
      <w:r>
        <w:rPr>
          <w:b/>
        </w:rPr>
      </w:r>
    </w:p>
    <w:p>
      <w:pPr>
        <w:pStyle w:val="931"/>
        <w:ind w:left="0" w:firstLine="709"/>
      </w:pPr>
      <w:r/>
      <w:bookmarkStart w:id="35" w:name="_Toc11"/>
      <w:r>
        <w:t xml:space="preserve">Программное подключение к модулю ROC-RK3588S-PC </w:t>
      </w:r>
      <w:r>
        <w:t xml:space="preserve">FireFly</w:t>
      </w:r>
      <w:bookmarkEnd w:id="35"/>
      <w:r/>
      <w:r/>
    </w:p>
    <w:p>
      <w:pPr>
        <w:pStyle w:val="1178"/>
      </w:pPr>
      <w:r>
        <w:t xml:space="preserve">Работа с данной платформой осуществляется с помощью официального SDK от производителя </w:t>
      </w:r>
      <w:r>
        <w:t xml:space="preserve">FireFly</w:t>
      </w:r>
      <w:r>
        <w:t xml:space="preserve">. Исчерпывающая документация по вопросам получения SDK, взаимодействия с интерфейсами платы и прочих работ находится по следующей ссылке - </w:t>
      </w:r>
      <w:hyperlink r:id="rId34" w:tooltip="https://wiki.t-firefly.com/en/ROC-RK3588S-PC/index.html" w:history="1">
        <w:r>
          <w:rPr>
            <w:rStyle w:val="1089"/>
          </w:rPr>
          <w:t xml:space="preserve">FF </w:t>
        </w:r>
        <w:r>
          <w:rPr>
            <w:rStyle w:val="1089"/>
          </w:rPr>
          <w:t xml:space="preserve">manual</w:t>
        </w:r>
      </w:hyperlink>
      <w:r>
        <w:t xml:space="preserve">. </w:t>
      </w:r>
      <w:r>
        <w:rPr>
          <w:rStyle w:val="1089"/>
          <w:rFonts w:eastAsia="Calibri"/>
          <w:color w:val="000000" w:themeColor="text1"/>
          <w:u w:val="none"/>
        </w:rPr>
        <w:t xml:space="preserve">Работа МЭК была протестирована с официальными Rootfs GNOME версии 2.4.0 и 3.0. При использовании новых Rootfs XFCE могут наблюдаться проблемы с приложением rkaiq_3A_server для калибровки ISP.</w:t>
      </w:r>
      <w:r/>
      <w:r/>
      <w:r/>
    </w:p>
    <w:p>
      <w:pPr>
        <w:pStyle w:val="1178"/>
      </w:pPr>
      <w:r>
        <w:t xml:space="preserve">Для включения поддержки МЭК в SDK требуется скачать необходимые файлы со страницы продукта - </w:t>
      </w:r>
      <w:hyperlink r:id="rId35" w:tooltip="https://macroems.ru/imx662/" w:history="1">
        <w:r>
          <w:rPr>
            <w:rStyle w:val="1089"/>
          </w:rPr>
          <w:t xml:space="preserve">Модуль камеры на IMX662</w:t>
        </w:r>
      </w:hyperlink>
      <w:r>
        <w:t xml:space="preserve">. Драйвера (файл imx662.c) должны находится в следующей директо</w:t>
      </w:r>
      <w:r>
        <w:t xml:space="preserve">рии SDK - </w:t>
      </w:r>
      <w:r>
        <w:rPr>
          <w:i/>
          <w:iCs/>
        </w:rPr>
        <w:t xml:space="preserve">kernel</w:t>
      </w:r>
      <w:r>
        <w:rPr>
          <w:i/>
          <w:iCs/>
        </w:rPr>
        <w:t xml:space="preserve">/</w:t>
      </w:r>
      <w:r>
        <w:rPr>
          <w:i/>
          <w:iCs/>
        </w:rPr>
        <w:t xml:space="preserve">drivers</w:t>
      </w:r>
      <w:r>
        <w:rPr>
          <w:i/>
          <w:iCs/>
        </w:rPr>
        <w:t xml:space="preserve">/</w:t>
      </w:r>
      <w:r>
        <w:rPr>
          <w:i/>
          <w:iCs/>
        </w:rPr>
        <w:t xml:space="preserve">media</w:t>
      </w:r>
      <w:r>
        <w:rPr>
          <w:i/>
          <w:iCs/>
        </w:rPr>
        <w:t xml:space="preserve">/i2c</w:t>
      </w:r>
      <w:r>
        <w:t xml:space="preserve">. Для компиляции драйвера требуется добавить строку в </w:t>
      </w:r>
      <w:r>
        <w:t xml:space="preserve">Makefile</w:t>
      </w:r>
      <w:r>
        <w:t xml:space="preserve">, находящийся в той же папке: </w:t>
      </w:r>
      <w:r/>
    </w:p>
    <w:p>
      <w:pPr>
        <w:spacing w:before="240" w:after="240"/>
        <w:rPr>
          <w:bCs/>
          <w:i/>
          <w:lang w:val="en-US"/>
        </w:rPr>
      </w:pPr>
      <w:r>
        <w:rPr>
          <w:i/>
          <w:iCs/>
          <w:lang w:val="en-US"/>
        </w:rPr>
        <w:t xml:space="preserve">obj-$(CONFIG_VIDEO_IMX662)</w:t>
      </w:r>
      <w:r>
        <w:rPr>
          <w:i/>
          <w:iCs/>
          <w:lang w:val="en-US"/>
        </w:rPr>
        <w:tab/>
        <w:t xml:space="preserve">+= imx662.o 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r>
        <w:t xml:space="preserve">Также требуется добавить устройство в </w:t>
      </w:r>
      <w:r>
        <w:t xml:space="preserve">Kconfig</w:t>
      </w:r>
      <w:r>
        <w:t xml:space="preserve">. Соответствующий пример находится в необход</w:t>
      </w:r>
      <w:r>
        <w:t xml:space="preserve">имых файлах для подключения.</w:t>
      </w:r>
      <w:r/>
    </w:p>
    <w:p>
      <w:pPr>
        <w:pStyle w:val="1178"/>
      </w:pPr>
      <w:r>
        <w:t xml:space="preserve">Файл дерева с расширением </w:t>
      </w:r>
      <w:r>
        <w:t xml:space="preserve">dtsi</w:t>
      </w:r>
      <w:r>
        <w:t xml:space="preserve"> положить в папке </w:t>
      </w:r>
      <w:r>
        <w:rPr>
          <w:i/>
          <w:iCs/>
        </w:rPr>
        <w:t xml:space="preserve">kernel</w:t>
      </w:r>
      <w:r>
        <w:rPr>
          <w:i/>
          <w:iCs/>
        </w:rPr>
        <w:t xml:space="preserve">/</w:t>
      </w:r>
      <w:r>
        <w:rPr>
          <w:i/>
          <w:iCs/>
        </w:rPr>
        <w:t xml:space="preserve">arch</w:t>
      </w:r>
      <w:r>
        <w:rPr>
          <w:i/>
          <w:iCs/>
        </w:rPr>
        <w:t xml:space="preserve">/arm64/</w:t>
      </w:r>
      <w:r>
        <w:rPr>
          <w:i/>
          <w:iCs/>
        </w:rPr>
        <w:t xml:space="preserve">boot</w:t>
      </w:r>
      <w:r>
        <w:rPr>
          <w:i/>
          <w:iCs/>
        </w:rPr>
        <w:t xml:space="preserve">/</w:t>
      </w:r>
      <w:r>
        <w:rPr>
          <w:i/>
          <w:iCs/>
        </w:rPr>
        <w:t xml:space="preserve">dts</w:t>
      </w:r>
      <w:r>
        <w:rPr>
          <w:i/>
          <w:iCs/>
        </w:rPr>
        <w:t xml:space="preserve">/</w:t>
      </w:r>
      <w:r>
        <w:rPr>
          <w:i/>
          <w:iCs/>
        </w:rPr>
        <w:t xml:space="preserve">rockchip</w:t>
      </w:r>
      <w:r>
        <w:t xml:space="preserve">. </w:t>
      </w:r>
      <w:r/>
    </w:p>
    <w:p>
      <w:pPr>
        <w:pStyle w:val="1178"/>
      </w:pPr>
      <w:r>
        <w:t xml:space="preserve">Для добавления поддержки в ядро можно добавить строку в соответствующий </w:t>
      </w:r>
      <w:r>
        <w:t xml:space="preserve">defconfig</w:t>
      </w:r>
      <w:r>
        <w:t xml:space="preserve"> в директории </w:t>
      </w:r>
      <w:r>
        <w:t xml:space="preserve">kernel</w:t>
      </w:r>
      <w:r>
        <w:t xml:space="preserve">/</w:t>
      </w:r>
      <w:r>
        <w:t xml:space="preserve">arch</w:t>
      </w:r>
      <w:r>
        <w:t xml:space="preserve">/arm64/</w:t>
      </w:r>
      <w:r>
        <w:t xml:space="preserve">configs</w:t>
      </w:r>
      <w:r>
        <w:t xml:space="preserve">:</w:t>
      </w:r>
      <w:r/>
    </w:p>
    <w:p>
      <w:pPr>
        <w:spacing w:before="240" w:after="240"/>
        <w:rPr>
          <w:bCs/>
          <w:i/>
        </w:rPr>
      </w:pPr>
      <w:r>
        <w:rPr>
          <w:i/>
          <w:iCs/>
        </w:rPr>
        <w:t xml:space="preserve">CONFIG_VIDEO_IMX662</w:t>
      </w:r>
      <w:r>
        <w:rPr>
          <w:i/>
          <w:iCs/>
        </w:rPr>
        <w:t xml:space="preserve">=y</w:t>
      </w:r>
      <w:r>
        <w:rPr>
          <w:bCs/>
          <w:i/>
        </w:rPr>
      </w:r>
      <w:r>
        <w:rPr>
          <w:bCs/>
          <w:i/>
        </w:rPr>
      </w:r>
    </w:p>
    <w:p>
      <w:r>
        <w:t xml:space="preserve">При повторении описанных в мануале шагов будет использоваться </w:t>
      </w:r>
      <w:r>
        <w:t xml:space="preserve">rockchip_defconfig</w:t>
      </w:r>
      <w:r>
        <w:t xml:space="preserve">.</w:t>
      </w:r>
      <w:r/>
    </w:p>
    <w:p>
      <w:pPr>
        <w:pStyle w:val="1178"/>
      </w:pPr>
      <w:r>
        <w:t xml:space="preserve">Для запуска видео используется конвейер </w:t>
      </w:r>
      <w:r>
        <w:t xml:space="preserve">gstreamer</w:t>
      </w:r>
      <w:r>
        <w:t xml:space="preserve">:</w:t>
      </w:r>
      <w:r/>
    </w:p>
    <w:p>
      <w:pPr>
        <w:spacing w:before="240" w:after="240"/>
        <w:rPr>
          <w:rFonts w:cs="Times New Roman"/>
          <w:bCs/>
          <w:i/>
          <w:szCs w:val="28"/>
          <w:lang w:val="en-US"/>
        </w:rPr>
      </w:pP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gst-launch-1.0 v4l2src device=/dev/video11 io-mode=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4 !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 queue ! video/x-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raw,format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=NV12,width=1920,height=1080,framerate=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90/1  ! 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glimagesink</w:t>
      </w:r>
      <w:r>
        <w:rPr>
          <w:rFonts w:cs="Times New Roman"/>
          <w:bCs/>
          <w:i/>
          <w:szCs w:val="28"/>
          <w:lang w:val="en-US"/>
        </w:rPr>
      </w:r>
      <w:r>
        <w:rPr>
          <w:rFonts w:cs="Times New Roman"/>
          <w:bCs/>
          <w:i/>
          <w:szCs w:val="28"/>
          <w:lang w:val="en-US"/>
        </w:rPr>
      </w:r>
    </w:p>
    <w:p>
      <w:pPr>
        <w:pStyle w:val="1178"/>
      </w:pPr>
      <w:r>
        <w:t xml:space="preserve">Для вывода информации о получаемом видеопотоке:</w:t>
      </w:r>
      <w:r/>
    </w:p>
    <w:p>
      <w:pPr>
        <w:spacing w:before="240" w:after="240"/>
        <w:rPr>
          <w:rFonts w:cs="Times New Roman"/>
          <w:szCs w:val="28"/>
          <w:lang w:val="en-US"/>
        </w:rPr>
      </w:pP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gst-launch-1.0 v4l2src device=/dev/video11 io-mode=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4 !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 queue ! video/x-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raw,format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=NV12,width=1920,height=1080,framerate=90/1  ! 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fpsdisplaysink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 video-sink=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glimagesink</w:t>
      </w:r>
      <w:r>
        <w:rPr>
          <w:rFonts w:eastAsia="Calibri" w:cs="Times New Roman"/>
          <w:i/>
          <w:iCs/>
          <w:color w:val="000000"/>
          <w:szCs w:val="28"/>
          <w:lang w:val="en-US"/>
        </w:rPr>
        <w:t xml:space="preserve"> text-overlay=true -v</w:t>
      </w:r>
      <w:r>
        <w:rPr>
          <w:rFonts w:cs="Times New Roman"/>
          <w:szCs w:val="28"/>
          <w:lang w:val="en-US"/>
        </w:rPr>
      </w:r>
      <w:r>
        <w:rPr>
          <w:rFonts w:cs="Times New Roman"/>
          <w:szCs w:val="28"/>
          <w:lang w:val="en-US"/>
        </w:rPr>
      </w:r>
    </w:p>
    <w:p>
      <w:pPr>
        <w:pStyle w:val="1178"/>
      </w:pPr>
      <w:r>
        <w:t xml:space="preserve">Д</w:t>
      </w:r>
      <w:r>
        <w:t xml:space="preserve">ля калибровки ISP требуется положить файл imx662_IMX662_</w:t>
      </w:r>
      <w:r>
        <w:t xml:space="preserve">NC.json</w:t>
      </w:r>
      <w:r>
        <w:t xml:space="preserve"> в директорию /</w:t>
      </w:r>
      <w:r>
        <w:t xml:space="preserve">etc</w:t>
      </w:r>
      <w:r>
        <w:t xml:space="preserve">/</w:t>
      </w:r>
      <w:r>
        <w:t xml:space="preserve">iqfiles</w:t>
      </w:r>
      <w:r>
        <w:t xml:space="preserve">. После чего запустить калибровку одним из способов:</w:t>
      </w:r>
      <w:r/>
    </w:p>
    <w:p>
      <w:pPr>
        <w:pStyle w:val="1108"/>
        <w:numPr>
          <w:ilvl w:val="0"/>
          <w:numId w:val="5"/>
        </w:numPr>
        <w:rPr>
          <w:i/>
          <w:iCs/>
        </w:rPr>
      </w:pPr>
      <w:r>
        <w:rPr>
          <w:i/>
          <w:iCs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</w:rPr>
        <w:t xml:space="preserve">etc</w:t>
      </w:r>
      <w:r>
        <w:rPr>
          <w:i/>
          <w:iCs/>
        </w:rPr>
        <w:t xml:space="preserve">/</w:t>
      </w:r>
      <w:r>
        <w:rPr>
          <w:i/>
          <w:iCs/>
        </w:rPr>
        <w:t xml:space="preserve">init.d</w:t>
      </w:r>
      <w:r>
        <w:rPr>
          <w:i/>
          <w:iCs/>
        </w:rPr>
        <w:t xml:space="preserve">/ </w:t>
      </w:r>
      <w:r>
        <w:rPr>
          <w:i/>
          <w:iCs/>
        </w:rPr>
      </w:r>
      <w:r>
        <w:rPr>
          <w:i/>
          <w:iCs/>
        </w:rPr>
      </w:r>
    </w:p>
    <w:p>
      <w:pPr>
        <w:ind w:left="709"/>
        <w:rPr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sh</w:t>
      </w:r>
      <w:r>
        <w:rPr>
          <w:i/>
          <w:iCs/>
          <w:lang w:val="en-US"/>
        </w:rPr>
        <w:t xml:space="preserve"> rkaiq_3A.sh start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08"/>
        <w:numPr>
          <w:ilvl w:val="0"/>
          <w:numId w:val="5"/>
        </w:numPr>
        <w:rPr>
          <w:i/>
          <w:iCs/>
        </w:rPr>
      </w:pPr>
      <w:r>
        <w:rPr>
          <w:i/>
          <w:iCs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</w:rPr>
        <w:t xml:space="preserve">usr</w:t>
      </w:r>
      <w:r>
        <w:rPr>
          <w:i/>
          <w:iCs/>
        </w:rPr>
        <w:t xml:space="preserve">/</w:t>
      </w:r>
      <w:r>
        <w:rPr>
          <w:i/>
          <w:iCs/>
        </w:rPr>
        <w:t xml:space="preserve">bin</w:t>
      </w:r>
      <w:r>
        <w:rPr>
          <w:i/>
          <w:iCs/>
        </w:rPr>
        <w:t xml:space="preserve">/</w:t>
      </w:r>
      <w:r>
        <w:rPr>
          <w:i/>
          <w:iCs/>
        </w:rPr>
      </w:r>
      <w:r>
        <w:rPr>
          <w:i/>
          <w:iCs/>
        </w:rPr>
      </w:r>
    </w:p>
    <w:p>
      <w:pPr>
        <w:ind w:left="709"/>
        <w:rPr>
          <w:i/>
          <w:iCs/>
        </w:rPr>
      </w:pPr>
      <w:r>
        <w:rPr>
          <w:i/>
          <w:iCs/>
          <w:lang w:val="en-US"/>
        </w:rPr>
        <w:t xml:space="preserve">s</w:t>
      </w:r>
      <w:r>
        <w:rPr>
          <w:i/>
          <w:iCs/>
        </w:rPr>
        <w:t xml:space="preserve">udo</w:t>
      </w:r>
      <w:r>
        <w:rPr>
          <w:i/>
          <w:iCs/>
        </w:rPr>
        <w:t xml:space="preserve"> .</w:t>
      </w:r>
      <w:r>
        <w:rPr>
          <w:i/>
          <w:iCs/>
        </w:rPr>
        <w:t xml:space="preserve">/rkaiq_3A_server</w:t>
      </w:r>
      <w:r>
        <w:rPr>
          <w:i/>
          <w:iCs/>
        </w:rPr>
      </w:r>
      <w:r>
        <w:rPr>
          <w:i/>
          <w:iCs/>
        </w:rPr>
      </w:r>
    </w:p>
    <w:p>
      <w:r>
        <w:t xml:space="preserve">Достаточно запустить калибровку один раз. Настройки ISP сохраняются при перезагрузке платформы.</w:t>
      </w:r>
      <w:r/>
    </w:p>
    <w:p>
      <w:pPr>
        <w:pStyle w:val="931"/>
        <w:ind w:left="0" w:firstLine="709"/>
      </w:pPr>
      <w:r/>
      <w:bookmarkStart w:id="36" w:name="_Toc12"/>
      <w:r>
        <w:t xml:space="preserve">Физическое подключение к модулю </w:t>
      </w:r>
      <w:r>
        <w:t xml:space="preserve">NanoR</w:t>
      </w:r>
      <w:bookmarkEnd w:id="36"/>
      <w:r/>
      <w:r/>
    </w:p>
    <w:p>
      <w:pPr>
        <w:pStyle w:val="1178"/>
      </w:pPr>
      <w:r>
        <w:t xml:space="preserve">К модулю </w:t>
      </w:r>
      <w:r>
        <w:t xml:space="preserve">NanoR</w:t>
      </w:r>
      <w:r>
        <w:t xml:space="preserve"> МЭК подключается в один из стандартных разъёмов CSI-2 Port 1 (XS12) и CSI-2 Port 2 (XS13). Для подключения </w:t>
      </w:r>
      <w:r>
        <w:t xml:space="preserve">используется 22-контактный FPC-шлейф (Тип А) с шагом 0.5 мм. </w:t>
      </w:r>
      <w:r/>
    </w:p>
    <w:tbl>
      <w:tblPr>
        <w:tblStyle w:val="110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230"/>
        <w:gridCol w:w="5343"/>
        <w:gridCol w:w="2772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CSI-2 Port 1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модуля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NanoR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4438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sz w:val="20"/>
                <w:szCs w:val="20"/>
                <w:lang w:eastAsia="ru-RU"/>
              </w:rPr>
            </w: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075" cy="560494"/>
                      <wp:effectExtent l="6357" t="6352" r="6357" b="6352"/>
                      <wp:docPr id="39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7136615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32" flipH="0" flipV="0">
                                <a:off x="0" y="0"/>
                                <a:ext cx="1653075" cy="560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30.16pt;height:44.13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16232" cy="278327"/>
                      <wp:effectExtent l="0" t="0" r="0" b="0"/>
                      <wp:docPr id="40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846473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16232" cy="2783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261.12pt;height:21.9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4100" cy="2511201"/>
                      <wp:effectExtent l="0" t="0" r="0" b="0"/>
                      <wp:docPr id="41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2633467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rcRect l="12684" t="29225" r="42276" b="392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099" cy="25112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30.24pt;height:197.73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1176"/>
      </w:pPr>
      <w:r>
        <w:t xml:space="preserve">Рисунок 8 – Физическое подключение МЭК к модулю </w:t>
      </w:r>
      <w:r>
        <w:t xml:space="preserve">NanoR</w:t>
      </w:r>
      <w:r/>
    </w:p>
    <w:p>
      <w:pPr>
        <w:pStyle w:val="931"/>
        <w:ind w:left="0" w:firstLine="709"/>
      </w:pPr>
      <w:r/>
      <w:bookmarkStart w:id="37" w:name="_Toc13"/>
      <w:r>
        <w:t xml:space="preserve">Программное подключение к модулю </w:t>
      </w:r>
      <w:r>
        <w:t xml:space="preserve">NanoR</w:t>
      </w:r>
      <w:bookmarkEnd w:id="37"/>
      <w:r/>
      <w:r/>
    </w:p>
    <w:p>
      <w:pPr>
        <w:pStyle w:val="1178"/>
      </w:pPr>
      <w:r>
        <w:t xml:space="preserve">Поддержка МЭК включена в ядро для модуля </w:t>
      </w:r>
      <w:r>
        <w:t xml:space="preserve">NanoR</w:t>
      </w:r>
      <w:r>
        <w:t xml:space="preserve">. Для проверки успешной инициализации МЭК можно воспользоваться следующей командой:</w:t>
      </w:r>
      <w:r/>
    </w:p>
    <w:p>
      <w:pPr>
        <w:spacing w:before="240" w:after="240"/>
        <w:rPr>
          <w:bCs/>
          <w:i/>
        </w:rPr>
      </w:pPr>
      <w:r>
        <w:rPr>
          <w:i/>
          <w:iCs/>
        </w:rPr>
        <w:t xml:space="preserve">dmesg</w:t>
      </w:r>
      <w:r>
        <w:rPr>
          <w:i/>
          <w:iCs/>
        </w:rPr>
        <w:t xml:space="preserve"> | </w:t>
      </w:r>
      <w:r>
        <w:rPr>
          <w:i/>
          <w:iCs/>
        </w:rPr>
        <w:t xml:space="preserve">grep</w:t>
      </w:r>
      <w:r>
        <w:rPr>
          <w:i/>
          <w:iCs/>
        </w:rPr>
        <w:t xml:space="preserve"> imx662</w:t>
      </w:r>
      <w:r>
        <w:rPr>
          <w:bCs/>
          <w:i/>
        </w:rPr>
      </w:r>
      <w:r>
        <w:rPr>
          <w:bCs/>
          <w:i/>
        </w:rPr>
      </w:r>
    </w:p>
    <w:p>
      <w:pPr>
        <w:rPr>
          <w:lang w:val="en-US"/>
        </w:rPr>
      </w:pPr>
      <w:r>
        <w:t xml:space="preserve">В случае успешной инициализации МЭК в консоли должны отображаться соответствующие сообщения. Пример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7.494471] imx662 12-001a-2: set the video v4l2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api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7.494495] imx662 12-001a-2: set the media controller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7.494588] imx662 12-001a-2: v4l2 async register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success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7.494846] imx662 13-001a-2: driver version: 00.01.06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7.544175] rockchip-csi2-dphy csi2-dphy0: dphy0 matches </w:t>
      </w:r>
      <w:r>
        <w:rPr>
          <w:i/>
          <w:iCs/>
          <w:lang w:val="en-US"/>
        </w:rPr>
        <w:t xml:space="preserve">m00_b_imx662 12-001a-</w:t>
      </w:r>
      <w:r>
        <w:rPr>
          <w:i/>
          <w:iCs/>
          <w:lang w:val="en-US"/>
        </w:rPr>
        <w:t xml:space="preserve">2:bus</w:t>
      </w:r>
      <w:r>
        <w:rPr>
          <w:i/>
          <w:iCs/>
          <w:lang w:val="en-US"/>
        </w:rPr>
        <w:t xml:space="preserve"> type 5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78"/>
      </w:pPr>
      <w:r>
        <w:t xml:space="preserve">Для вызова видео можно использовать </w:t>
      </w:r>
      <w:r>
        <w:t xml:space="preserve">gstreamer</w:t>
      </w:r>
      <w:r>
        <w:t xml:space="preserve">. При подключении МЭК к разъёму XS12 модулю соответствует устройство video22, XS13 – video31. Информацию об устройствах можно вывести командой </w:t>
      </w:r>
      <w:r>
        <w:rPr>
          <w:i/>
          <w:iCs/>
        </w:rPr>
        <w:t xml:space="preserve">media-ctl</w:t>
      </w:r>
      <w:r>
        <w:rPr>
          <w:i/>
          <w:iCs/>
        </w:rPr>
        <w:t xml:space="preserve"> –p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</w:rPr>
        <w:t xml:space="preserve">mediaX</w:t>
      </w:r>
      <w:r>
        <w:t xml:space="preserve">, где X – номер устройства. Для вывода используется </w:t>
      </w:r>
      <w:r>
        <w:t xml:space="preserve">selfpath</w:t>
      </w:r>
      <w:r>
        <w:t xml:space="preserve"> или </w:t>
      </w:r>
      <w:r>
        <w:t xml:space="preserve">mainpath</w:t>
      </w:r>
      <w:r>
        <w:t xml:space="preserve">. Пример патт</w:t>
      </w:r>
      <w:r>
        <w:t xml:space="preserve">ерна для вызова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=NV12,width=1080,height=720,framerate=90/1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autovideosink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78"/>
      </w:pPr>
      <w:r>
        <w:t xml:space="preserve">Паттерн для вывода информации о принимаемом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</w:t>
      </w:r>
      <w:r>
        <w:rPr>
          <w:i/>
          <w:iCs/>
          <w:lang w:val="en-US"/>
        </w:rPr>
        <w:t xml:space="preserve">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=NV12,width=1080,height=720,framerate=90/1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fpsdisplaysink</w:t>
      </w:r>
      <w:r>
        <w:rPr>
          <w:i/>
          <w:iCs/>
          <w:lang w:val="en-US"/>
        </w:rPr>
        <w:t xml:space="preserve"> video-sink=</w:t>
      </w:r>
      <w:r>
        <w:rPr>
          <w:i/>
          <w:iCs/>
          <w:lang w:val="en-US"/>
        </w:rPr>
        <w:t xml:space="preserve">autovideosink</w:t>
      </w:r>
      <w:r>
        <w:rPr>
          <w:i/>
          <w:iCs/>
          <w:lang w:val="en-US"/>
        </w:rPr>
        <w:t xml:space="preserve"> text-overlay=true -v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78"/>
        <w:ind w:firstLine="0"/>
      </w:pPr>
      <w:r>
        <w:t xml:space="preserve">Данный конвейер будет показывать количество выводимых на дисплей кадров. Для пр</w:t>
      </w:r>
      <w:r>
        <w:t xml:space="preserve">осмотра характеристик принимаемого потока требуется использовать V4L:</w:t>
      </w:r>
      <w:r/>
    </w:p>
    <w:p>
      <w:pPr>
        <w:spacing w:before="240" w:after="240"/>
        <w:rPr>
          <w:i/>
          <w:iCs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v4l2-ctl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/video22 --</w:t>
      </w:r>
      <w:r>
        <w:rPr>
          <w:i/>
          <w:iCs/>
        </w:rPr>
        <w:t xml:space="preserve">stream-mmap</w:t>
      </w:r>
      <w:r>
        <w:rPr>
          <w:i/>
          <w:iCs/>
        </w:rPr>
        <w:t xml:space="preserve">=4 --</w:t>
      </w:r>
      <w:r>
        <w:rPr>
          <w:i/>
          <w:iCs/>
        </w:rPr>
        <w:t xml:space="preserve">verbose</w:t>
      </w:r>
      <w:r>
        <w:rPr>
          <w:i/>
          <w:iCs/>
        </w:rPr>
        <w:t xml:space="preserve"> </w:t>
      </w:r>
      <w:r>
        <w:rPr>
          <w:i/>
          <w:iCs/>
        </w:rPr>
      </w:r>
      <w:r>
        <w:rPr>
          <w:i/>
          <w:iCs/>
        </w:rPr>
      </w:r>
    </w:p>
    <w:p>
      <w:p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 случае использования V4L будет отображено количество кадров принимаемое </w:t>
      </w:r>
      <w:r>
        <w:t xml:space="preserve">аппаратно</w:t>
      </w:r>
      <w:r>
        <w:t xml:space="preserve">. В случае необходимости прочие характеристики могу</w:t>
      </w:r>
      <w:r>
        <w:t xml:space="preserve">т быть отображены с помощью v4l2-ctl и </w:t>
      </w:r>
      <w:r>
        <w:t xml:space="preserve">media-ctl</w:t>
      </w:r>
      <w:r>
        <w:t xml:space="preserve">. Для справки обращаться к помощи по командам (</w:t>
      </w:r>
      <w:r>
        <w:rPr>
          <w:i/>
          <w:iCs/>
        </w:rPr>
        <w:t xml:space="preserve">v4l2-ctl </w:t>
      </w:r>
      <w:r>
        <w:t xml:space="preserve">–</w:t>
      </w:r>
      <w:r>
        <w:rPr>
          <w:i/>
          <w:iCs/>
        </w:rPr>
        <w:t xml:space="preserve">h</w:t>
      </w:r>
      <w:r>
        <w:t xml:space="preserve"> и</w:t>
      </w:r>
      <w:r>
        <w:rPr>
          <w:i/>
          <w:iCs/>
        </w:rPr>
        <w:t xml:space="preserve"> </w:t>
      </w:r>
      <w:r>
        <w:rPr>
          <w:i/>
          <w:iCs/>
        </w:rPr>
        <w:t xml:space="preserve">media-ctl</w:t>
      </w:r>
      <w:r>
        <w:rPr>
          <w:i/>
          <w:iCs/>
        </w:rPr>
        <w:t xml:space="preserve"> -h</w:t>
      </w:r>
      <w:r>
        <w:t xml:space="preserve">). </w:t>
      </w:r>
      <w:r/>
    </w:p>
    <w:p>
      <w:pPr>
        <w:pStyle w:val="1178"/>
      </w:pPr>
      <w:r>
        <w:t xml:space="preserve">Для записи видеопотока с МЭК использовать следующий конвейер: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</w:t>
      </w:r>
      <w:r>
        <w:rPr>
          <w:i/>
          <w:iCs/>
          <w:lang w:val="en-US"/>
        </w:rPr>
        <w:t xml:space="preserve">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=NV12,width=1920,height=1080,framerate=90/1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filesink</w:t>
      </w:r>
      <w:r>
        <w:rPr>
          <w:i/>
          <w:iCs/>
          <w:lang w:val="en-US"/>
        </w:rPr>
        <w:t xml:space="preserve"> location=</w:t>
      </w:r>
      <w:r>
        <w:rPr>
          <w:i/>
          <w:iCs/>
          <w:lang w:val="en-US"/>
        </w:rPr>
        <w:t xml:space="preserve">out.yuv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78"/>
        <w:spacing w:before="240"/>
      </w:pPr>
      <w:r>
        <w:t xml:space="preserve">Для воспроизведения видео можно использовать </w:t>
      </w:r>
      <w:r>
        <w:rPr>
          <w:lang w:val="en-US"/>
        </w:rPr>
        <w:t xml:space="preserve">ffplay</w:t>
      </w:r>
      <w:r>
        <w:t xml:space="preserve">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ffplay</w:t>
      </w:r>
      <w:r>
        <w:rPr>
          <w:i/>
          <w:iCs/>
          <w:lang w:val="en-US"/>
        </w:rPr>
        <w:t xml:space="preserve"> -f </w:t>
      </w:r>
      <w:r>
        <w:rPr>
          <w:i/>
          <w:iCs/>
          <w:lang w:val="en-US"/>
        </w:rPr>
        <w:t xml:space="preserve">rawvideo</w:t>
      </w:r>
      <w:r>
        <w:rPr>
          <w:i/>
          <w:iCs/>
          <w:lang w:val="en-US"/>
        </w:rPr>
        <w:t xml:space="preserve"> -</w:t>
      </w:r>
      <w:r>
        <w:rPr>
          <w:i/>
          <w:iCs/>
          <w:lang w:val="en-US"/>
        </w:rPr>
        <w:t xml:space="preserve">video_size</w:t>
      </w:r>
      <w:r>
        <w:rPr>
          <w:i/>
          <w:iCs/>
          <w:lang w:val="en-US"/>
        </w:rPr>
        <w:t xml:space="preserve"> 1920x1080 -</w:t>
      </w:r>
      <w:r>
        <w:rPr>
          <w:i/>
          <w:iCs/>
          <w:lang w:val="en-US"/>
        </w:rPr>
        <w:t xml:space="preserve">pix_fmt</w:t>
      </w:r>
      <w:r>
        <w:rPr>
          <w:i/>
          <w:iCs/>
          <w:lang w:val="en-US"/>
        </w:rPr>
        <w:t xml:space="preserve"> nv12 </w:t>
      </w:r>
      <w:r>
        <w:rPr>
          <w:i/>
          <w:iCs/>
          <w:lang w:val="en-US"/>
        </w:rPr>
        <w:t xml:space="preserve">out.yuv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78"/>
      </w:pPr>
      <w:r>
        <w:t xml:space="preserve">Для калибровки </w:t>
      </w:r>
      <w:r>
        <w:t xml:space="preserve">isp</w:t>
      </w:r>
      <w:r>
        <w:t xml:space="preserve"> вызвать следующие ком</w:t>
      </w:r>
      <w:r>
        <w:t xml:space="preserve">анды:</w:t>
      </w:r>
      <w:r/>
    </w:p>
    <w:p>
      <w:pPr>
        <w:spacing w:before="240"/>
        <w:rPr>
          <w:i/>
          <w:iCs/>
          <w:lang w:val="en-US"/>
        </w:rPr>
      </w:pPr>
      <w:r>
        <w:rPr>
          <w:i/>
          <w:iCs/>
        </w:rPr>
        <w:t xml:space="preserve">с</w:t>
      </w:r>
      <w:r>
        <w:rPr>
          <w:i/>
          <w:iCs/>
          <w:lang w:val="en-US"/>
        </w:rPr>
        <w:t xml:space="preserve">d</w:t>
      </w:r>
      <w:r>
        <w:rPr>
          <w:i/>
          <w:iCs/>
          <w:lang w:val="en-US"/>
        </w:rPr>
        <w:t xml:space="preserve"> /</w:t>
      </w:r>
      <w:r>
        <w:rPr>
          <w:i/>
          <w:iCs/>
          <w:lang w:val="en-US"/>
        </w:rPr>
        <w:t xml:space="preserve">usr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bin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.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rkaiq</w:t>
      </w:r>
      <w:r>
        <w:rPr>
          <w:i/>
          <w:iCs/>
          <w:lang w:val="en-US"/>
        </w:rPr>
        <w:t xml:space="preserve">_3</w:t>
      </w:r>
      <w:r>
        <w:rPr>
          <w:i/>
          <w:iCs/>
          <w:lang w:val="en-US"/>
        </w:rPr>
        <w:t xml:space="preserve">A</w:t>
      </w:r>
      <w:r>
        <w:rPr>
          <w:i/>
          <w:iCs/>
          <w:lang w:val="en-US"/>
        </w:rPr>
        <w:t xml:space="preserve">_</w:t>
      </w:r>
      <w:r>
        <w:rPr>
          <w:i/>
          <w:iCs/>
          <w:lang w:val="en-US"/>
        </w:rPr>
        <w:t xml:space="preserve">server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before="240" w:after="24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Окно терминала с запущенным приложе</w:t>
      </w:r>
      <w:r>
        <w:t xml:space="preserve">нием будет занято. Достаточно запустить калибровку единожды, при перезагрузке устройства настройки ISP сохраняются. Калибровку необходимо осуществлять заново при подключении новых МЭК. Для выполнения калибровки необходим соответствующий файл в директории /</w:t>
      </w:r>
      <w:r>
        <w:t xml:space="preserve">etc</w:t>
      </w:r>
      <w:r>
        <w:t xml:space="preserve">/</w:t>
      </w:r>
      <w:r>
        <w:t xml:space="preserve">iqfiles</w:t>
      </w:r>
      <w:r>
        <w:t xml:space="preserve">/ в формате JSON.</w:t>
      </w:r>
      <w:r>
        <w:rPr>
          <w:highlight w:val="none"/>
        </w:rPr>
      </w:r>
      <w:r>
        <w:rPr>
          <w:highlight w:val="none"/>
        </w:rPr>
      </w:r>
    </w:p>
    <w:p>
      <w:pPr>
        <w:pStyle w:val="1178"/>
        <w:rPr>
          <w:highlight w:val="none"/>
        </w:rPr>
      </w:pPr>
      <w:r>
        <w:rPr>
          <w:rStyle w:val="1184"/>
        </w:rPr>
        <w:t xml:space="preserve">Версии основных библиотек:</w:t>
      </w:r>
      <w:r>
        <w:rPr>
          <w:highlight w:val="none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spacing w:before="240" w:after="240"/>
        <w:rPr>
          <w:bCs/>
          <w:i/>
          <w:sz w:val="22"/>
          <w:szCs w:val="1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sz w:val="24"/>
          <w:szCs w:val="20"/>
          <w:highlight w:val="none"/>
        </w:rPr>
      </w:r>
      <w:r>
        <w:rPr>
          <w:b/>
          <w:bCs/>
          <w:i/>
          <w:iCs/>
          <w:sz w:val="24"/>
          <w:szCs w:val="20"/>
          <w:highlight w:val="none"/>
        </w:rPr>
        <w:t xml:space="preserve">1.20.3-0ubuntu1 arm64</w:t>
      </w:r>
      <w:r>
        <w:rPr>
          <w:b/>
          <w:bCs/>
          <w:i/>
          <w:iCs/>
          <w:sz w:val="24"/>
          <w:szCs w:val="20"/>
          <w:highlight w:val="none"/>
        </w:rPr>
        <w:t xml:space="preserve">:</w:t>
      </w:r>
      <w:r>
        <w:rPr>
          <w:i/>
          <w:iCs/>
          <w:sz w:val="24"/>
          <w:szCs w:val="20"/>
          <w:highlight w:val="none"/>
        </w:rPr>
        <w:t xml:space="preserve"> gir1.2-gstreamer-1.0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gir1.2-gstreamer-1.0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gstreamer1.0-libav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gstreamer1.0-plugins-bad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gstreamer1.0-plugins-good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gstreamer1.0-pulseaudio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gstreamer1.0-tools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libgstreamer-opencv1.0-0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libgstreamer-plugins-bad1.0-0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libgstreamer-plugins-good1.0-0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libgstreamer1.0-0</w:t>
      </w:r>
      <w:r>
        <w:rPr>
          <w:bCs/>
          <w:i/>
          <w:sz w:val="22"/>
          <w:szCs w:val="18"/>
          <w:highlight w:val="none"/>
        </w:rPr>
      </w:r>
      <w:r>
        <w:rPr>
          <w:bCs/>
          <w:i/>
          <w:sz w:val="22"/>
          <w:szCs w:val="18"/>
          <w:highlight w:val="none"/>
        </w:rPr>
      </w:r>
    </w:p>
    <w:p>
      <w:pPr>
        <w:spacing w:before="240" w:after="240"/>
        <w:rPr>
          <w:i/>
          <w:sz w:val="24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sz w:val="24"/>
          <w:szCs w:val="20"/>
          <w:highlight w:val="none"/>
        </w:rPr>
      </w:r>
      <w:r>
        <w:rPr>
          <w:b/>
          <w:bCs/>
          <w:i/>
          <w:iCs/>
          <w:sz w:val="24"/>
          <w:szCs w:val="20"/>
          <w:highlight w:val="none"/>
        </w:rPr>
        <w:t xml:space="preserve">1.20.1-1ubuntu0.1 arm64</w:t>
      </w:r>
      <w:r>
        <w:rPr>
          <w:b/>
          <w:bCs/>
          <w:i/>
          <w:iCs/>
          <w:sz w:val="24"/>
          <w:szCs w:val="20"/>
          <w:highlight w:val="none"/>
        </w:rPr>
        <w:t xml:space="preserve">:</w:t>
      </w:r>
      <w:r>
        <w:rPr>
          <w:i/>
          <w:iCs/>
          <w:sz w:val="24"/>
          <w:szCs w:val="20"/>
          <w:highlight w:val="none"/>
        </w:rPr>
        <w:t xml:space="preserve"> </w:t>
      </w:r>
      <w:r>
        <w:rPr>
          <w:i/>
          <w:iCs/>
          <w:sz w:val="24"/>
          <w:szCs w:val="20"/>
          <w:highlight w:val="none"/>
        </w:rPr>
        <w:t xml:space="preserve">gstreamer1.0-alsa, </w:t>
      </w:r>
      <w:r>
        <w:rPr>
          <w:i/>
          <w:iCs/>
          <w:sz w:val="24"/>
          <w:szCs w:val="20"/>
          <w:highlight w:val="none"/>
        </w:rPr>
        <w:t xml:space="preserve">gstreamer1.0-gl, </w:t>
      </w:r>
      <w:r>
        <w:rPr>
          <w:i/>
          <w:iCs/>
          <w:sz w:val="24"/>
          <w:szCs w:val="20"/>
          <w:highlight w:val="none"/>
        </w:rPr>
        <w:t xml:space="preserve">gstreamer1.0-plugins-base-apps, </w:t>
      </w:r>
      <w:r>
        <w:rPr>
          <w:i/>
          <w:iCs/>
          <w:sz w:val="24"/>
          <w:szCs w:val="20"/>
          <w:highlight w:val="none"/>
        </w:rPr>
        <w:t xml:space="preserve">gstreamer1.0-plugins-base, </w:t>
      </w:r>
      <w:r>
        <w:rPr>
          <w:i/>
          <w:iCs/>
          <w:sz w:val="24"/>
          <w:szCs w:val="20"/>
          <w:highlight w:val="none"/>
        </w:rPr>
        <w:t xml:space="preserve">gstreamer1.0-x, </w:t>
      </w:r>
      <w:r>
        <w:rPr>
          <w:i/>
          <w:iCs/>
          <w:sz w:val="24"/>
          <w:szCs w:val="20"/>
          <w:highlight w:val="none"/>
        </w:rPr>
        <w:t xml:space="preserve">libgstreamer-gl1.0-0, </w:t>
      </w:r>
      <w:r>
        <w:rPr>
          <w:i/>
          <w:iCs/>
          <w:sz w:val="24"/>
          <w:szCs w:val="20"/>
          <w:highlight w:val="none"/>
        </w:rPr>
        <w:t xml:space="preserve">libgstreamer-plugins-base1.0-0</w:t>
      </w:r>
      <w:r>
        <w:rPr>
          <w:i/>
          <w:sz w:val="24"/>
          <w:szCs w:val="20"/>
          <w:highlight w:val="none"/>
        </w:rPr>
      </w:r>
      <w:r>
        <w:rPr>
          <w:i/>
          <w:sz w:val="24"/>
          <w:szCs w:val="20"/>
          <w:highlight w:val="none"/>
        </w:rPr>
      </w:r>
    </w:p>
    <w:p>
      <w:pPr>
        <w:spacing w:before="240" w:after="240"/>
        <w:rPr>
          <w:bCs/>
          <w:i/>
          <w:sz w:val="24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sz w:val="24"/>
          <w:szCs w:val="20"/>
          <w:highlight w:val="none"/>
        </w:rPr>
      </w:r>
      <w:r>
        <w:rPr>
          <w:b/>
          <w:bCs/>
          <w:i/>
          <w:iCs/>
          <w:sz w:val="24"/>
          <w:szCs w:val="20"/>
          <w:highlight w:val="none"/>
        </w:rPr>
        <w:t xml:space="preserve">1.5.0-4ubuntu2.2firefly6 arm64</w:t>
      </w:r>
      <w:r>
        <w:rPr>
          <w:b/>
          <w:bCs/>
          <w:i/>
          <w:iCs/>
          <w:sz w:val="24"/>
          <w:szCs w:val="20"/>
          <w:highlight w:val="none"/>
        </w:rPr>
        <w:t xml:space="preserve">:</w:t>
      </w:r>
      <w:r>
        <w:rPr>
          <w:i/>
          <w:iCs/>
          <w:sz w:val="24"/>
          <w:szCs w:val="20"/>
          <w:highlight w:val="none"/>
        </w:rPr>
        <w:t xml:space="preserve"> </w:t>
      </w:r>
      <w:r>
        <w:rPr>
          <w:i/>
          <w:iCs/>
          <w:sz w:val="24"/>
          <w:szCs w:val="20"/>
          <w:highlight w:val="none"/>
        </w:rPr>
        <w:t xml:space="preserve">gstreamer1.0-rockchip1, </w:t>
      </w:r>
      <w:r>
        <w:rPr>
          <w:i/>
          <w:iCs/>
          <w:sz w:val="24"/>
          <w:szCs w:val="20"/>
          <w:highlight w:val="none"/>
        </w:rPr>
        <w:t xml:space="preserve">librockchip-mpp-dev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librockchip-mpp1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librockchip-vpu0</w:t>
      </w:r>
      <w:r>
        <w:rPr>
          <w:i/>
          <w:iCs/>
          <w:sz w:val="24"/>
          <w:szCs w:val="20"/>
          <w:highlight w:val="none"/>
        </w:rPr>
        <w:t xml:space="preserve">, </w:t>
      </w:r>
      <w:r>
        <w:rPr>
          <w:i/>
          <w:iCs/>
          <w:sz w:val="24"/>
          <w:szCs w:val="20"/>
          <w:highlight w:val="none"/>
        </w:rPr>
        <w:t xml:space="preserve">rockchip-mpp-demos</w:t>
      </w:r>
      <w:r>
        <w:rPr>
          <w:bCs/>
          <w:i/>
          <w:sz w:val="24"/>
          <w:szCs w:val="20"/>
          <w:highlight w:val="none"/>
        </w:rPr>
      </w:r>
      <w:r>
        <w:rPr>
          <w:bCs/>
          <w:i/>
          <w:sz w:val="24"/>
          <w:szCs w:val="20"/>
          <w:highlight w:val="none"/>
        </w:rPr>
      </w:r>
    </w:p>
    <w:p>
      <w:pPr>
        <w:spacing w:before="240" w:after="240"/>
        <w:rPr>
          <w:b w:val="0"/>
          <w:bCs w:val="0"/>
          <w:i/>
          <w:sz w:val="24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sz w:val="24"/>
          <w:szCs w:val="20"/>
          <w:highlight w:val="none"/>
        </w:rPr>
      </w:r>
      <w:r>
        <w:rPr>
          <w:b/>
          <w:bCs/>
          <w:i/>
          <w:iCs/>
          <w:sz w:val="24"/>
          <w:szCs w:val="20"/>
          <w:highlight w:val="none"/>
        </w:rPr>
        <w:t xml:space="preserve">5.0x3.0 arm64</w:t>
      </w:r>
      <w:r>
        <w:rPr>
          <w:b/>
          <w:bCs/>
          <w:i/>
          <w:iCs/>
          <w:sz w:val="24"/>
          <w:szCs w:val="20"/>
          <w:highlight w:val="none"/>
        </w:rPr>
        <w:t xml:space="preserve">:</w:t>
      </w:r>
      <w:r>
        <w:rPr>
          <w:b w:val="0"/>
          <w:bCs w:val="0"/>
          <w:i/>
          <w:iCs/>
          <w:sz w:val="24"/>
          <w:szCs w:val="20"/>
          <w:highlight w:val="none"/>
        </w:rPr>
        <w:t xml:space="preserve"> </w:t>
      </w:r>
      <w:r>
        <w:rPr>
          <w:b w:val="0"/>
          <w:bCs w:val="0"/>
          <w:i/>
          <w:iCs/>
          <w:sz w:val="24"/>
          <w:szCs w:val="20"/>
          <w:highlight w:val="none"/>
        </w:rPr>
        <w:t xml:space="preserve">camera-engine-rkaiq</w:t>
      </w:r>
      <w:r>
        <w:rPr>
          <w:b w:val="0"/>
          <w:bCs w:val="0"/>
          <w:i/>
          <w:sz w:val="24"/>
          <w:szCs w:val="20"/>
          <w:highlight w:val="none"/>
        </w:rPr>
      </w:r>
      <w:r>
        <w:rPr>
          <w:b w:val="0"/>
          <w:bCs w:val="0"/>
          <w:i/>
          <w:sz w:val="24"/>
          <w:szCs w:val="20"/>
          <w:highlight w:val="none"/>
        </w:rPr>
      </w:r>
    </w:p>
    <w:p>
      <w:pPr>
        <w:pStyle w:val="930"/>
        <w:ind w:firstLine="709"/>
        <w:pageBreakBefore/>
      </w:pPr>
      <w:r/>
      <w:bookmarkStart w:id="38" w:name="_Toc14"/>
      <w:r>
        <w:t xml:space="preserve">Подключение МЭК к 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3568</w:t>
      </w:r>
      <w:bookmarkEnd w:id="38"/>
      <w:r/>
      <w:r/>
    </w:p>
    <w:p>
      <w:pPr>
        <w:pStyle w:val="931"/>
        <w:ind w:left="0" w:firstLine="709"/>
      </w:pPr>
      <w:r/>
      <w:bookmarkStart w:id="39" w:name="_Toc15"/>
      <w:r/>
      <w:bookmarkStart w:id="20" w:name="_Hlk183016454"/>
      <w:r>
        <w:t xml:space="preserve">Физическое подключение к модулю DS-RK3568-EV</w:t>
      </w:r>
      <w:r>
        <w:t xml:space="preserve">B rev.1</w:t>
      </w:r>
      <w:bookmarkEnd w:id="20"/>
      <w:r/>
      <w:bookmarkEnd w:id="39"/>
      <w:r/>
      <w:r/>
    </w:p>
    <w:p>
      <w:pPr>
        <w:ind w:firstLine="708"/>
        <w:rPr>
          <w:highlight w:val="white"/>
        </w:rPr>
      </w:pPr>
      <w:r>
        <w:t xml:space="preserve">Физическое подключение МЭК к модулю DS-RK3568-EVB rev.1 </w:t>
      </w:r>
      <w:r>
        <w:rPr>
          <w:highlight w:val="white"/>
        </w:rPr>
        <w:t xml:space="preserve">от бренда </w:t>
      </w:r>
      <w:r>
        <w:rPr>
          <w:highlight w:val="white"/>
          <w:lang w:val="en-US"/>
        </w:rPr>
        <w:t xml:space="preserve">DiaSom</w:t>
      </w:r>
      <w:r>
        <w:t xml:space="preserve"> осуществляется в соответствии с рисунком 9.</w:t>
      </w:r>
      <w:r>
        <w:rPr>
          <w:highlight w:val="white"/>
        </w:rPr>
      </w:r>
      <w:r>
        <w:rPr>
          <w:highlight w:val="white"/>
        </w:rPr>
      </w:r>
    </w:p>
    <w:tbl>
      <w:tblPr>
        <w:tblStyle w:val="1107"/>
        <w:tblW w:w="10290" w:type="dxa"/>
        <w:jc w:val="center"/>
        <w:tblLook w:val="04A0" w:firstRow="1" w:lastRow="0" w:firstColumn="1" w:lastColumn="0" w:noHBand="0" w:noVBand="1"/>
      </w:tblPr>
      <w:tblGrid>
        <w:gridCol w:w="2426"/>
        <w:gridCol w:w="2346"/>
        <w:gridCol w:w="1932"/>
        <w:gridCol w:w="2507"/>
        <w:gridCol w:w="1079"/>
      </w:tblGrid>
      <w:tr>
        <w:tblPrEx/>
        <w:trPr>
          <w:jc w:val="center"/>
          <w:trHeight w:val="1119"/>
        </w:trPr>
        <w:tc>
          <w:tcPr>
            <w:tcW w:w="246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/>
            <w:bookmarkStart w:id="22" w:name="_Hlk158802458"/>
            <w:r>
              <w:rPr>
                <w:rFonts w:cs="Times New Roman"/>
                <w:sz w:val="24"/>
                <w:szCs w:val="24"/>
                <w:lang w:val="en-US"/>
              </w:rPr>
              <w:t xml:space="preserve">DS</w:t>
            </w:r>
            <w:r>
              <w:rPr>
                <w:rFonts w:cs="Times New Roman"/>
                <w:sz w:val="24"/>
                <w:szCs w:val="24"/>
              </w:rPr>
              <w:t xml:space="preserve">-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RK</w:t>
            </w:r>
            <w:r>
              <w:rPr>
                <w:rFonts w:cs="Times New Roman"/>
                <w:sz w:val="24"/>
                <w:szCs w:val="24"/>
              </w:rPr>
              <w:t xml:space="preserve">3568-EVB</w:t>
            </w:r>
            <w:bookmarkEnd w:id="22"/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 xml:space="preserve">rev.1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34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2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sz w:val="24"/>
                <w:szCs w:val="24"/>
                <w:lang w:val="en-US" w:eastAsia="ru-RU"/>
              </w:rPr>
            </w:r>
            <w:r>
              <w:rPr>
                <w:sz w:val="24"/>
                <w:szCs w:val="24"/>
                <w:lang w:val="en-US" w:eastAsia="ru-RU"/>
              </w:rPr>
            </w:r>
          </w:p>
        </w:tc>
        <w:tc>
          <w:tcPr>
            <w:tcW w:w="249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24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965200</wp:posOffset>
                      </wp:positionV>
                      <wp:extent cx="403860" cy="304800"/>
                      <wp:effectExtent l="0" t="0" r="0" b="0"/>
                      <wp:wrapNone/>
                      <wp:docPr id="42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6" o:spid="_x0000_s46" o:spt="202" type="#_x0000_t202" style="position:absolute;z-index:251759104;o:allowoverlap:true;o:allowincell:true;mso-position-horizontal-relative:text;margin-left:-3.95pt;mso-position-horizontal:absolute;mso-position-vertical-relative:text;margin-top:76.00pt;mso-position-vertical:absolute;width:31.80pt;height:24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18</wp:posOffset>
                      </wp:positionH>
                      <wp:positionV relativeFrom="paragraph">
                        <wp:posOffset>114300</wp:posOffset>
                      </wp:positionV>
                      <wp:extent cx="304800" cy="279400"/>
                      <wp:effectExtent l="0" t="0" r="0" b="6350"/>
                      <wp:wrapNone/>
                      <wp:docPr id="43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7" o:spid="_x0000_s47" o:spt="202" type="#_x0000_t202" style="position:absolute;z-index:251762176;o:allowoverlap:true;o:allowincell:true;mso-position-horizontal-relative:text;margin-left:0.00pt;mso-position-horizontal:absolute;mso-position-vertical-relative:text;margin-top:9.00pt;mso-position-vertical:absolute;width:24.00pt;height:22.00pt;mso-wrap-distance-left:9.00pt;mso-wrap-distance-top:0.00pt;mso-wrap-distance-right:9.00pt;mso-wrap-distance-bottom:0.0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5380" cy="2206432"/>
                      <wp:effectExtent l="0" t="0" r="7620" b="3810"/>
                      <wp:docPr id="4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9595" cy="2272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89.40pt;height:173.73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/>
          </w:p>
        </w:tc>
        <w:tc>
          <w:tcPr>
            <w:tcW w:w="2340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6676" cy="714375"/>
                      <wp:effectExtent l="0" t="0" r="6350" b="0"/>
                      <wp:docPr id="45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9310" cy="8059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06.04pt;height:56.25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20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5841" cy="1523195"/>
                      <wp:effectExtent l="0" t="0" r="0" b="0"/>
                      <wp:docPr id="4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787290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95841" cy="15231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94.16pt;height:119.94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490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7062" cy="555876"/>
                      <wp:effectExtent l="0" t="0" r="0" b="0"/>
                      <wp:docPr id="4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464839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27062" cy="5558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20.24pt;height:43.77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szCs w:val="20"/>
                <w:highlight w:val="none"/>
                <w:lang w:eastAsia="ru-RU"/>
              </w:rPr>
            </w:pP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</w:p>
          <w:p>
            <w:pPr>
              <w:jc w:val="left"/>
              <w:rPr>
                <w:sz w:val="20"/>
                <w:szCs w:val="20"/>
                <w:highlight w:val="none"/>
                <w:lang w:eastAsia="ru-RU"/>
              </w:rPr>
            </w:pPr>
            <w:r>
              <w:rPr>
                <w:rFonts w:cs="Times New Roman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84674</wp:posOffset>
                      </wp:positionH>
                      <wp:positionV relativeFrom="paragraph">
                        <wp:posOffset>210600</wp:posOffset>
                      </wp:positionV>
                      <wp:extent cx="403860" cy="281940"/>
                      <wp:effectExtent l="0" t="0" r="0" b="3810"/>
                      <wp:wrapNone/>
                      <wp:docPr id="48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59" cy="2819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2" o:spid="_x0000_s52" o:spt="202" type="#_x0000_t202" style="position:absolute;z-index:251761152;o:allowoverlap:true;o:allowincell:true;mso-position-horizontal-relative:text;margin-left:6.67pt;mso-position-horizontal:absolute;mso-position-vertical-relative:text;margin-top:16.58pt;mso-position-vertical:absolute;width:31.80pt;height:22.2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134204</wp:posOffset>
                      </wp:positionH>
                      <wp:positionV relativeFrom="paragraph">
                        <wp:posOffset>1132620</wp:posOffset>
                      </wp:positionV>
                      <wp:extent cx="304800" cy="279400"/>
                      <wp:effectExtent l="0" t="0" r="0" b="6350"/>
                      <wp:wrapNone/>
                      <wp:docPr id="49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799" cy="279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53" o:spid="_x0000_s53" o:spt="202" type="#_x0000_t202" style="position:absolute;z-index:251758080;o:allowoverlap:true;o:allowincell:true;mso-position-horizontal-relative:text;margin-left:10.57pt;mso-position-horizontal:absolute;mso-position-vertical-relative:text;margin-top:89.18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075" cy="560494"/>
                      <wp:effectExtent l="6357" t="6352" r="6357" b="6352"/>
                      <wp:docPr id="50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8918224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rcRect l="12549" t="72000" r="13718" b="0"/>
                              <a:stretch/>
                            </pic:blipFill>
                            <pic:spPr bwMode="auto">
                              <a:xfrm rot="16199932" flipH="0" flipV="0">
                                <a:off x="0" y="0"/>
                                <a:ext cx="1653075" cy="560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30.16pt;height:44.13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</w:p>
        </w:tc>
      </w:tr>
    </w:tbl>
    <w:p>
      <w:pPr>
        <w:pStyle w:val="1176"/>
      </w:pPr>
      <w:r>
        <w:t xml:space="preserve">Рисунок 9 – Подключение МЭК к модулю DS-RK3568-EVB </w:t>
      </w:r>
      <w:r>
        <w:rPr>
          <w:highlight w:val="white"/>
        </w:rPr>
        <w:t xml:space="preserve">rev.1</w:t>
      </w:r>
      <w:r/>
    </w:p>
    <w:p>
      <w:pPr>
        <w:pStyle w:val="930"/>
        <w:ind w:firstLine="709"/>
        <w:spacing w:before="0" w:after="240"/>
      </w:pPr>
      <w:r/>
      <w:bookmarkStart w:id="40" w:name="_Toc16"/>
      <w:r>
        <w:t xml:space="preserve">Меры предосторожности</w:t>
      </w:r>
      <w:bookmarkEnd w:id="40"/>
      <w:r/>
      <w:r/>
    </w:p>
    <w:p>
      <w:pPr>
        <w:pStyle w:val="1178"/>
      </w:pPr>
      <w:r>
        <w:t xml:space="preserve">Внимание! Подключение МЭК к разъёмам, предназначенным для других целей, или с помощью других шлейфов, не гарантирует его работоспособность и может привести к выходу из строя! Пр</w:t>
      </w:r>
      <w:r>
        <w:t xml:space="preserve">и неправильном подключении шлейфов, может быть, короткое замыкание между крайними контактами питания 1 и 22 разъёма </w:t>
      </w:r>
      <w:r>
        <w:rPr>
          <w:lang w:val="en-US"/>
        </w:rPr>
        <w:t xml:space="preserve">J</w:t>
      </w:r>
      <w:r>
        <w:t xml:space="preserve">1 МЭК. Рекомендуется проверить отсутствие замыкания между ними до подачи питания при всех подключенных шлейфах! </w:t>
      </w:r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951" w:right="850" w:bottom="1276" w:left="1701" w:header="284" w:footer="185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  <w:endnote w:type="continuationNotice" w:id="1">
    <w:p>
      <w:pPr>
        <w:spacing w:line="240" w:lineRule="auto"/>
      </w:pPr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ISOCPEUR">
    <w:panose1 w:val="020B0604030504040204"/>
  </w:font>
  <w:font w:name="Times New Roman CYR">
    <w:panose1 w:val="02020603050405020304"/>
  </w:font>
  <w:font w:name="Lohit Devanagari">
    <w:panose1 w:val="020B0600000000000000"/>
  </w:font>
  <w:font w:name="Mangal">
    <w:panose1 w:val="02040503050406030204"/>
  </w:font>
  <w:font w:name="Courier New">
    <w:panose1 w:val="02070309020205020404"/>
  </w:font>
  <w:font w:name="Noto Sans CJK SC">
    <w:panose1 w:val="020B0604030504040204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1109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1111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111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  <w:trHeight w:val="124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1109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1111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111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  <w:footnote w:type="continuationNotice" w:id="1">
    <w:p>
      <w:pPr>
        <w:spacing w:line="240" w:lineRule="auto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22353126"/>
      <w:docPartObj>
        <w:docPartGallery w:val="Page Numbers (Top of Page)"/>
        <w:docPartUnique w:val="true"/>
      </w:docPartObj>
      <w:rPr/>
    </w:sdtPr>
    <w:sdtContent>
      <w:p>
        <w:pPr>
          <w:pStyle w:val="1109"/>
          <w:jc w:val="right"/>
        </w:pPr>
        <w:r>
          <w:fldChar w:fldCharType="begin"/>
        </w:r>
        <w:r>
          <w:instrText xml:space="preserve">PAGE   \*</w:instrText>
        </w:r>
        <w:r>
          <w:instrText xml:space="preserve">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110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09"/>
      <w:spacing w:line="360" w:lineRule="auto"/>
    </w:pPr>
    <w:r/>
    <w:r/>
  </w:p>
  <w:tbl>
    <w:tblPr>
      <w:tblStyle w:val="1107"/>
      <w:tblW w:w="0" w:type="auto"/>
      <w:tblLook w:val="04A0" w:firstRow="1" w:lastRow="0" w:firstColumn="1" w:lastColumn="0" w:noHBand="0" w:noVBand="1"/>
    </w:tblPr>
    <w:tblGrid>
      <w:gridCol w:w="4645"/>
      <w:gridCol w:w="4700"/>
    </w:tblGrid>
    <w:tr>
      <w:tblPrEx/>
      <w:trPr>
        <w:trHeight w:val="1124"/>
      </w:trPr>
      <w:tc>
        <w:tcPr>
          <w:tcW w:w="4785" w:type="dxa"/>
          <w:textDirection w:val="lrTb"/>
          <w:noWrap w:val="false"/>
        </w:tcPr>
        <w:p>
          <w:r>
            <w:rPr>
              <w:lang w:eastAsia="ru-RU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54610</wp:posOffset>
                    </wp:positionV>
                    <wp:extent cx="2333625" cy="575945"/>
                    <wp:effectExtent l="0" t="0" r="0" b="0"/>
                    <wp:wrapNone/>
                    <wp:docPr id="1" name="Рисунок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33362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position:absolute;z-index:251659264;o:allowoverlap:true;o:allowincell:true;mso-position-horizontal-relative:text;margin-left:15.95pt;mso-position-horizontal:absolute;mso-position-vertical-relative:text;margin-top:4.30pt;mso-position-vertical:absolute;width:183.75pt;height:45.35pt;mso-wrap-distance-left:9.00pt;mso-wrap-distance-top:0.00pt;mso-wrap-distance-right:9.00pt;mso-wrap-distance-bottom:0.0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Модуль электронной камеры</w:t>
          </w:r>
          <w:r>
            <w:rPr>
              <w:b/>
              <w:bCs/>
              <w:sz w:val="32"/>
              <w:szCs w:val="32"/>
              <w:highlight w:val="yellow"/>
            </w:rPr>
            <w:t xml:space="preserve"> </w:t>
          </w:r>
          <w:r>
            <w:rPr>
              <w:b/>
              <w:bCs/>
              <w:sz w:val="32"/>
              <w:szCs w:val="32"/>
              <w:lang w:val="en-US"/>
            </w:rPr>
            <w:t xml:space="preserve">DS</w:t>
          </w:r>
          <w:r>
            <w:rPr>
              <w:b/>
              <w:bCs/>
              <w:sz w:val="32"/>
              <w:szCs w:val="32"/>
            </w:rPr>
            <w:t xml:space="preserve">-</w:t>
          </w:r>
          <w:r>
            <w:rPr>
              <w:b/>
              <w:bCs/>
              <w:sz w:val="32"/>
              <w:szCs w:val="32"/>
              <w:lang w:val="en-US"/>
            </w:rPr>
            <w:t xml:space="preserve">CIMX</w:t>
          </w:r>
          <w:r>
            <w:rPr>
              <w:b/>
              <w:bCs/>
              <w:sz w:val="32"/>
              <w:szCs w:val="32"/>
            </w:rPr>
            <w:t xml:space="preserve">662-22</w:t>
          </w:r>
          <w:r>
            <w:rPr>
              <w:b/>
              <w:bCs/>
              <w:sz w:val="32"/>
              <w:szCs w:val="32"/>
            </w:rPr>
          </w:r>
          <w:r>
            <w:rPr>
              <w:b/>
              <w:bCs/>
              <w:sz w:val="32"/>
              <w:szCs w:val="32"/>
            </w:rPr>
          </w:r>
        </w:p>
      </w:tc>
    </w:tr>
    <w:tr>
      <w:tblPrEx/>
      <w:trPr/>
      <w:tc>
        <w:tcPr>
          <w:tcW w:w="4785" w:type="dxa"/>
          <w:textDirection w:val="lrTb"/>
          <w:noWrap w:val="false"/>
        </w:tcPr>
        <w:p>
          <w:pPr>
            <w:jc w:val="left"/>
            <w:spacing w:before="120"/>
            <w:rPr>
              <w:szCs w:val="40"/>
            </w:rPr>
          </w:pPr>
          <w:r>
            <w:rPr>
              <w:szCs w:val="40"/>
            </w:rPr>
            <w:t xml:space="preserve">Руководство по эксплуатации</w:t>
          </w:r>
          <w:r>
            <w:rPr>
              <w:szCs w:val="40"/>
            </w:rPr>
          </w:r>
          <w:r>
            <w:rPr>
              <w:szCs w:val="40"/>
            </w:rPr>
          </w:r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spacing w:before="120"/>
            <w:rPr>
              <w:szCs w:val="40"/>
            </w:rPr>
          </w:pPr>
          <w:r/>
          <w:bookmarkStart w:id="24" w:name="_Hlk180599277"/>
          <w:r>
            <w:rPr>
              <w:szCs w:val="40"/>
            </w:rPr>
            <w:t xml:space="preserve">МРЦН.</w:t>
          </w:r>
          <w:r>
            <w:rPr>
              <w:szCs w:val="40"/>
              <w:lang w:val="en-US"/>
            </w:rPr>
            <w:t xml:space="preserve">CIMX.50</w:t>
          </w:r>
          <w:r>
            <w:rPr>
              <w:szCs w:val="40"/>
            </w:rPr>
            <w:t xml:space="preserve">.</w:t>
          </w:r>
          <w:bookmarkEnd w:id="24"/>
          <w:r>
            <w:rPr>
              <w:szCs w:val="40"/>
              <w:lang w:val="en-US"/>
            </w:rPr>
            <w:t xml:space="preserve">104</w:t>
          </w:r>
          <w:r>
            <w:rPr>
              <w:szCs w:val="40"/>
            </w:rPr>
            <w:t xml:space="preserve">РЭ</w:t>
          </w:r>
          <w:r>
            <w:rPr>
              <w:szCs w:val="40"/>
            </w:rPr>
          </w:r>
          <w:r>
            <w:rPr>
              <w:szCs w:val="40"/>
            </w:rPr>
          </w:r>
        </w:p>
      </w:tc>
    </w:tr>
  </w:tbl>
  <w:p>
    <w:pPr>
      <w:pStyle w:val="110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multiLevelType w:val="hybridMultilevel"/>
    <w:lvl w:ilvl="0">
      <w:start w:val="5"/>
      <w:numFmt w:val="bullet"/>
      <w:pStyle w:val="1174"/>
      <w:isLgl w:val="false"/>
      <w:suff w:val="tab"/>
      <w:lvlText w:val="-"/>
      <w:lvlJc w:val="left"/>
      <w:pPr>
        <w:ind w:left="1069" w:hanging="360"/>
        <w:tabs>
          <w:tab w:val="num" w:pos="70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  <w:tabs>
          <w:tab w:val="num" w:pos="2149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pStyle w:val="1127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russianUpper"/>
      <w:pStyle w:val="1171"/>
      <w:isLgl w:val="false"/>
      <w:suff w:val="space"/>
      <w:lvlText w:val="Приложение %1."/>
      <w:lvlJc w:val="left"/>
      <w:pPr/>
      <w:rPr>
        <w:rFonts w:hint="default" w:ascii="Times New Roman" w:hAnsi="Times New Roman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pStyle w:val="1129"/>
      <w:isLgl w:val="false"/>
      <w:suff w:val="tab"/>
      <w:lvlText w:val="%1.%2.%3.%4"/>
      <w:lvlJc w:val="left"/>
      <w:pPr>
        <w:ind w:left="4485" w:hanging="1080"/>
      </w:pPr>
      <w:rPr>
        <w:rFonts w:hint="default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pStyle w:val="1152"/>
      <w:isLgl w:val="false"/>
      <w:suff w:val="tab"/>
      <w:lvlText w:val="%1"/>
      <w:lvlJc w:val="left"/>
      <w:pPr>
        <w:ind w:left="1077" w:hanging="360"/>
      </w:pPr>
      <w:rPr>
        <w:rFonts w:hint="default" w:cs="Times New Roman"/>
      </w:rPr>
    </w:lvl>
    <w:lvl w:ilvl="1">
      <w:start w:val="1"/>
      <w:numFmt w:val="decimal"/>
      <w:pStyle w:val="1154"/>
      <w:isLgl/>
      <w:suff w:val="tab"/>
      <w:lvlText w:val="%1.%2"/>
      <w:lvlJc w:val="left"/>
      <w:pPr>
        <w:ind w:left="1301" w:hanging="450"/>
      </w:pPr>
      <w:rPr>
        <w:rFonts w:hint="default" w:cs="Times New Roman"/>
        <w:b w:val="0"/>
      </w:rPr>
    </w:lvl>
    <w:lvl w:ilvl="2">
      <w:start w:val="1"/>
      <w:numFmt w:val="decimal"/>
      <w:pStyle w:val="1156"/>
      <w:isLgl/>
      <w:suff w:val="tab"/>
      <w:lvlText w:val="%1.%2.%3"/>
      <w:lvlJc w:val="left"/>
      <w:pPr>
        <w:ind w:left="1437" w:hanging="720"/>
      </w:pPr>
      <w:rPr>
        <w:rFonts w:hint="default" w:cs="Times New Roman"/>
        <w:b w:val="0"/>
      </w:rPr>
    </w:lvl>
    <w:lvl w:ilvl="3">
      <w:start w:val="1"/>
      <w:numFmt w:val="decimal"/>
      <w:isLgl/>
      <w:suff w:val="tab"/>
      <w:lvlText w:val="%1.%2.%3.%4"/>
      <w:lvlJc w:val="left"/>
      <w:pPr>
        <w:ind w:left="1797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"/>
      <w:lvlJc w:val="left"/>
      <w:pPr>
        <w:ind w:left="1797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"/>
      <w:lvlJc w:val="left"/>
      <w:pPr>
        <w:ind w:left="2157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"/>
      <w:lvlJc w:val="left"/>
      <w:pPr>
        <w:ind w:left="2157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17" w:hanging="180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517" w:hanging="1800"/>
      </w:pPr>
      <w:rPr>
        <w:rFonts w:hint="default" w:cs="Times New Roman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82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54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26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98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70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42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14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86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58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styleLink w:val="1233"/>
    <w:lvl w:ilvl="0">
      <w:start w:val="1"/>
      <w:numFmt w:val="decimal"/>
      <w:pStyle w:val="1233"/>
      <w:isLgl w:val="false"/>
      <w:suff w:val="space"/>
      <w:lvlText w:val="%1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1">
      <w:start w:val="1"/>
      <w:numFmt w:val="decimal"/>
      <w:isLgl w:val="false"/>
      <w:suff w:val="space"/>
      <w:lvlText w:val="%1.%2"/>
      <w:lvlJc w:val="left"/>
      <w:pPr>
        <w:ind w:left="708" w:firstLine="680"/>
      </w:pPr>
      <w:rPr>
        <w:rFonts w:hint="default"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08" w:firstLine="680"/>
      </w:pPr>
      <w:rPr>
        <w:rFonts w:hint="default"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708" w:firstLine="680"/>
      </w:pPr>
      <w:rPr>
        <w:rFonts w:hint="default" w:ascii="Times New Roman" w:hAnsi="Times New Roman"/>
        <w:sz w:val="28"/>
      </w:rPr>
    </w:lvl>
  </w:abstractNum>
  <w:abstractNum w:abstractNumId="20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pStyle w:val="1206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EastAsi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pStyle w:val="930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931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932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7"/>
  </w:num>
  <w:num w:numId="3">
    <w:abstractNumId w:val="18"/>
  </w:num>
  <w:num w:numId="4">
    <w:abstractNumId w:val="13"/>
  </w:num>
  <w:num w:numId="5">
    <w:abstractNumId w:val="5"/>
  </w:num>
  <w:num w:numId="6">
    <w:abstractNumId w:val="23"/>
  </w:num>
  <w:num w:numId="7">
    <w:abstractNumId w:val="7"/>
  </w:num>
  <w:num w:numId="8">
    <w:abstractNumId w:val="10"/>
  </w:num>
  <w:num w:numId="9">
    <w:abstractNumId w:val="12"/>
  </w:num>
  <w:num w:numId="10">
    <w:abstractNumId w:val="12"/>
  </w:num>
  <w:num w:numId="11">
    <w:abstractNumId w:val="12"/>
  </w:num>
  <w:num w:numId="12">
    <w:abstractNumId w:val="14"/>
  </w:num>
  <w:num w:numId="13">
    <w:abstractNumId w:val="23"/>
  </w:num>
  <w:num w:numId="14">
    <w:abstractNumId w:val="23"/>
  </w:num>
  <w:num w:numId="15">
    <w:abstractNumId w:val="23"/>
  </w:num>
  <w:num w:numId="16">
    <w:abstractNumId w:val="8"/>
  </w:num>
  <w:num w:numId="17">
    <w:abstractNumId w:val="7"/>
  </w:num>
  <w:num w:numId="18">
    <w:abstractNumId w:val="21"/>
  </w:num>
  <w:num w:numId="19">
    <w:abstractNumId w:val="19"/>
  </w:num>
  <w:num w:numId="20">
    <w:abstractNumId w:val="29"/>
  </w:num>
  <w:num w:numId="21">
    <w:abstractNumId w:val="16"/>
  </w:num>
  <w:num w:numId="22">
    <w:abstractNumId w:val="4"/>
  </w:num>
  <w:num w:numId="23">
    <w:abstractNumId w:val="28"/>
  </w:num>
  <w:num w:numId="24">
    <w:abstractNumId w:val="15"/>
  </w:num>
  <w:num w:numId="25">
    <w:abstractNumId w:val="24"/>
  </w:num>
  <w:num w:numId="26">
    <w:abstractNumId w:val="11"/>
  </w:num>
  <w:num w:numId="27">
    <w:abstractNumId w:val="6"/>
  </w:num>
  <w:num w:numId="28">
    <w:abstractNumId w:val="22"/>
  </w:num>
  <w:num w:numId="29">
    <w:abstractNumId w:val="1"/>
  </w:num>
  <w:num w:numId="30">
    <w:abstractNumId w:val="25"/>
  </w:num>
  <w:num w:numId="31">
    <w:abstractNumId w:val="26"/>
  </w:num>
  <w:num w:numId="32">
    <w:abstractNumId w:val="9"/>
  </w:num>
  <w:num w:numId="33">
    <w:abstractNumId w:val="17"/>
  </w:num>
  <w:num w:numId="34">
    <w:abstractNumId w:val="2"/>
  </w:num>
  <w:num w:numId="35">
    <w:abstractNumId w:val="2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  <w:footnote w:id="1"/>
  </w:footnotePr>
  <w:endnotePr>
    <w:pos w:val="docEnd"/>
    <w:numFmt w:val="lowerRoman"/>
    <w:numStart w:val="1"/>
    <w:numRestart w:val="continuous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29" w:default="1">
    <w:name w:val="Normal"/>
    <w:qFormat/>
    <w:pPr>
      <w:jc w:val="both"/>
      <w:spacing w:after="0" w:line="360" w:lineRule="auto"/>
    </w:pPr>
    <w:rPr>
      <w:rFonts w:ascii="Times New Roman" w:hAnsi="Times New Roman"/>
      <w:sz w:val="28"/>
    </w:rPr>
  </w:style>
  <w:style w:type="paragraph" w:styleId="930">
    <w:name w:val="Heading 1"/>
    <w:basedOn w:val="929"/>
    <w:next w:val="929"/>
    <w:link w:val="1120"/>
    <w:qFormat/>
    <w:pPr>
      <w:numPr>
        <w:ilvl w:val="0"/>
        <w:numId w:val="15"/>
      </w:numPr>
      <w:keepLines/>
      <w:keepNext/>
      <w:spacing w:before="480" w:line="300" w:lineRule="auto"/>
      <w:outlineLvl w:val="0"/>
    </w:pPr>
    <w:rPr>
      <w:rFonts w:cs="Times New Roman" w:eastAsiaTheme="majorEastAsia"/>
      <w:bCs/>
      <w:szCs w:val="28"/>
      <w:lang w:eastAsia="ru-RU"/>
    </w:rPr>
  </w:style>
  <w:style w:type="paragraph" w:styleId="931">
    <w:name w:val="Heading 2"/>
    <w:basedOn w:val="929"/>
    <w:next w:val="929"/>
    <w:link w:val="1121"/>
    <w:unhideWhenUsed/>
    <w:qFormat/>
    <w:pPr>
      <w:numPr>
        <w:ilvl w:val="1"/>
        <w:numId w:val="15"/>
      </w:numPr>
      <w:keepLines/>
      <w:keepNext/>
      <w:spacing w:before="120" w:after="120" w:line="300" w:lineRule="auto"/>
      <w:outlineLvl w:val="1"/>
    </w:pPr>
    <w:rPr>
      <w:rFonts w:cs="Times New Roman" w:eastAsiaTheme="majorEastAsia"/>
      <w:bCs/>
      <w:szCs w:val="28"/>
      <w:lang w:eastAsia="ru-RU"/>
    </w:rPr>
  </w:style>
  <w:style w:type="paragraph" w:styleId="932">
    <w:name w:val="Heading 3"/>
    <w:basedOn w:val="929"/>
    <w:next w:val="929"/>
    <w:link w:val="1122"/>
    <w:unhideWhenUsed/>
    <w:qFormat/>
    <w:pPr>
      <w:numPr>
        <w:ilvl w:val="2"/>
        <w:numId w:val="15"/>
      </w:numPr>
      <w:keepLines/>
      <w:keepNext/>
      <w:spacing w:before="200" w:line="276" w:lineRule="auto"/>
      <w:outlineLvl w:val="2"/>
    </w:pPr>
    <w:rPr>
      <w:rFonts w:eastAsiaTheme="majorEastAsia" w:cstheme="majorBidi"/>
      <w:bCs/>
      <w:lang w:eastAsia="ru-RU"/>
    </w:rPr>
  </w:style>
  <w:style w:type="paragraph" w:styleId="933">
    <w:name w:val="Heading 4"/>
    <w:basedOn w:val="929"/>
    <w:next w:val="929"/>
    <w:link w:val="945"/>
    <w:uiPriority w:val="9"/>
    <w:unhideWhenUsed/>
    <w:qFormat/>
    <w:pPr>
      <w:keepLines/>
      <w:keepNext/>
      <w:spacing w:before="200" w:line="276" w:lineRule="auto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:lang w:eastAsia="ru-RU"/>
    </w:rPr>
  </w:style>
  <w:style w:type="paragraph" w:styleId="934">
    <w:name w:val="Heading 5"/>
    <w:basedOn w:val="929"/>
    <w:next w:val="929"/>
    <w:link w:val="946"/>
    <w:uiPriority w:val="9"/>
    <w:unhideWhenUsed/>
    <w:qFormat/>
    <w:pPr>
      <w:keepLines/>
      <w:keepNext/>
      <w:spacing w:before="200" w:line="276" w:lineRule="auto"/>
      <w:outlineLvl w:val="4"/>
    </w:pPr>
    <w:rPr>
      <w:rFonts w:asciiTheme="majorHAnsi" w:hAnsiTheme="majorHAnsi" w:eastAsiaTheme="majorEastAsia" w:cstheme="majorBidi"/>
      <w:color w:val="1f4d78" w:themeColor="accent1" w:themeShade="7F"/>
      <w:lang w:eastAsia="ru-RU"/>
    </w:rPr>
  </w:style>
  <w:style w:type="paragraph" w:styleId="935">
    <w:name w:val="Heading 6"/>
    <w:basedOn w:val="929"/>
    <w:next w:val="929"/>
    <w:link w:val="947"/>
    <w:uiPriority w:val="9"/>
    <w:unhideWhenUsed/>
    <w:qFormat/>
    <w:pPr>
      <w:keepLines/>
      <w:keepNext/>
      <w:spacing w:before="200" w:line="276" w:lineRule="auto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  <w:lang w:eastAsia="ru-RU"/>
    </w:rPr>
  </w:style>
  <w:style w:type="paragraph" w:styleId="936">
    <w:name w:val="Heading 7"/>
    <w:basedOn w:val="929"/>
    <w:next w:val="929"/>
    <w:link w:val="948"/>
    <w:uiPriority w:val="9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lang w:eastAsia="ru-RU"/>
    </w:rPr>
  </w:style>
  <w:style w:type="paragraph" w:styleId="937">
    <w:name w:val="Heading 8"/>
    <w:basedOn w:val="929"/>
    <w:next w:val="929"/>
    <w:link w:val="949"/>
    <w:uiPriority w:val="9"/>
    <w:unhideWhenUsed/>
    <w:qFormat/>
    <w:pPr>
      <w:keepLines/>
      <w:keepNext/>
      <w:spacing w:before="20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paragraph" w:styleId="938">
    <w:name w:val="Heading 9"/>
    <w:basedOn w:val="929"/>
    <w:next w:val="929"/>
    <w:link w:val="950"/>
    <w:uiPriority w:val="9"/>
    <w:unhideWhenUsed/>
    <w:qFormat/>
    <w:p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939" w:default="1">
    <w:name w:val="Default Paragraph Font"/>
    <w:uiPriority w:val="1"/>
    <w:semiHidden/>
    <w:unhideWhenUsed/>
  </w:style>
  <w:style w:type="table" w:styleId="94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41" w:default="1">
    <w:name w:val="No List"/>
    <w:uiPriority w:val="99"/>
    <w:semiHidden/>
    <w:unhideWhenUsed/>
  </w:style>
  <w:style w:type="character" w:styleId="942" w:customStyle="1">
    <w:name w:val="Heading 1 Char"/>
    <w:basedOn w:val="939"/>
    <w:uiPriority w:val="9"/>
    <w:rPr>
      <w:rFonts w:ascii="Arial" w:hAnsi="Arial" w:eastAsia="Arial" w:cs="Arial"/>
      <w:sz w:val="40"/>
      <w:szCs w:val="40"/>
    </w:rPr>
  </w:style>
  <w:style w:type="character" w:styleId="943" w:customStyle="1">
    <w:name w:val="Heading 2 Char"/>
    <w:basedOn w:val="939"/>
    <w:uiPriority w:val="9"/>
    <w:rPr>
      <w:rFonts w:ascii="Arial" w:hAnsi="Arial" w:eastAsia="Arial" w:cs="Arial"/>
      <w:sz w:val="34"/>
    </w:rPr>
  </w:style>
  <w:style w:type="character" w:styleId="944" w:customStyle="1">
    <w:name w:val="Heading 3 Char"/>
    <w:basedOn w:val="939"/>
    <w:uiPriority w:val="9"/>
    <w:rPr>
      <w:rFonts w:ascii="Arial" w:hAnsi="Arial" w:eastAsia="Arial" w:cs="Arial"/>
      <w:sz w:val="30"/>
      <w:szCs w:val="30"/>
    </w:rPr>
  </w:style>
  <w:style w:type="character" w:styleId="945" w:customStyle="1">
    <w:name w:val="Заголовок 4 Знак"/>
    <w:basedOn w:val="939"/>
    <w:link w:val="933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z w:val="28"/>
      <w:lang w:eastAsia="ru-RU"/>
    </w:rPr>
  </w:style>
  <w:style w:type="character" w:styleId="946" w:customStyle="1">
    <w:name w:val="Заголовок 5 Знак"/>
    <w:basedOn w:val="939"/>
    <w:link w:val="934"/>
    <w:uiPriority w:val="9"/>
    <w:rPr>
      <w:rFonts w:asciiTheme="majorHAnsi" w:hAnsiTheme="majorHAnsi" w:eastAsiaTheme="majorEastAsia" w:cstheme="majorBidi"/>
      <w:color w:val="1f4d78" w:themeColor="accent1" w:themeShade="7F"/>
      <w:sz w:val="28"/>
      <w:lang w:eastAsia="ru-RU"/>
    </w:rPr>
  </w:style>
  <w:style w:type="character" w:styleId="947" w:customStyle="1">
    <w:name w:val="Заголовок 6 Знак"/>
    <w:basedOn w:val="939"/>
    <w:link w:val="935"/>
    <w:uiPriority w:val="9"/>
    <w:rPr>
      <w:rFonts w:asciiTheme="majorHAnsi" w:hAnsiTheme="majorHAnsi" w:eastAsiaTheme="majorEastAsia" w:cstheme="majorBidi"/>
      <w:i/>
      <w:iCs/>
      <w:color w:val="1f4d78" w:themeColor="accent1" w:themeShade="7F"/>
      <w:sz w:val="28"/>
      <w:lang w:eastAsia="ru-RU"/>
    </w:rPr>
  </w:style>
  <w:style w:type="character" w:styleId="948" w:customStyle="1">
    <w:name w:val="Заголовок 7 Знак"/>
    <w:basedOn w:val="939"/>
    <w:link w:val="936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8"/>
      <w:lang w:eastAsia="ru-RU"/>
    </w:rPr>
  </w:style>
  <w:style w:type="character" w:styleId="949" w:customStyle="1">
    <w:name w:val="Заголовок 8 Знак"/>
    <w:basedOn w:val="939"/>
    <w:link w:val="937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character" w:styleId="950" w:customStyle="1">
    <w:name w:val="Заголовок 9 Знак"/>
    <w:basedOn w:val="939"/>
    <w:link w:val="938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paragraph" w:styleId="951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ru-RU"/>
    </w:rPr>
  </w:style>
  <w:style w:type="paragraph" w:styleId="952">
    <w:name w:val="Title"/>
    <w:basedOn w:val="929"/>
    <w:next w:val="929"/>
    <w:link w:val="953"/>
    <w:qFormat/>
    <w:pPr>
      <w:contextualSpacing/>
      <w:spacing w:after="300" w:line="240" w:lineRule="auto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character" w:styleId="953" w:customStyle="1">
    <w:name w:val="Заголовок Знак"/>
    <w:basedOn w:val="939"/>
    <w:link w:val="952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954">
    <w:name w:val="Subtitle"/>
    <w:basedOn w:val="929"/>
    <w:next w:val="929"/>
    <w:link w:val="955"/>
    <w:uiPriority w:val="11"/>
    <w:qFormat/>
    <w:pPr>
      <w:numPr>
        <w:ilvl w:val="1"/>
      </w:numPr>
      <w:spacing w:line="276" w:lineRule="auto"/>
    </w:pPr>
    <w:rPr>
      <w:rFonts w:asciiTheme="majorHAnsi" w:hAnsiTheme="majorHAnsi" w:eastAsiaTheme="majorEastAsia" w:cstheme="majorBidi"/>
      <w:i/>
      <w:iCs/>
      <w:color w:val="5b9bd5" w:themeColor="accent1"/>
      <w:spacing w:val="15"/>
      <w:szCs w:val="24"/>
      <w:lang w:eastAsia="ru-RU"/>
    </w:rPr>
  </w:style>
  <w:style w:type="character" w:styleId="955" w:customStyle="1">
    <w:name w:val="Подзаголовок Знак"/>
    <w:basedOn w:val="939"/>
    <w:link w:val="95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8"/>
      <w:szCs w:val="24"/>
      <w:lang w:eastAsia="ru-RU"/>
    </w:rPr>
  </w:style>
  <w:style w:type="paragraph" w:styleId="956">
    <w:name w:val="Quote"/>
    <w:basedOn w:val="929"/>
    <w:next w:val="929"/>
    <w:link w:val="957"/>
    <w:uiPriority w:val="29"/>
    <w:qFormat/>
    <w:pPr>
      <w:ind w:left="720" w:right="720"/>
    </w:pPr>
    <w:rPr>
      <w:i/>
    </w:rPr>
  </w:style>
  <w:style w:type="character" w:styleId="957" w:customStyle="1">
    <w:name w:val="Цитата 2 Знак"/>
    <w:link w:val="956"/>
    <w:uiPriority w:val="29"/>
    <w:rPr>
      <w:rFonts w:ascii="Times New Roman" w:hAnsi="Times New Roman"/>
      <w:i/>
      <w:sz w:val="28"/>
    </w:rPr>
  </w:style>
  <w:style w:type="paragraph" w:styleId="958">
    <w:name w:val="Intense Quote"/>
    <w:basedOn w:val="929"/>
    <w:next w:val="929"/>
    <w:link w:val="959"/>
    <w:uiPriority w:val="30"/>
    <w:qFormat/>
    <w:pPr>
      <w:ind w:left="936" w:right="936"/>
      <w:spacing w:before="200" w:after="280" w:line="276" w:lineRule="auto"/>
      <w:pBdr>
        <w:bottom w:val="single" w:color="5B9BD5" w:themeColor="accent1" w:sz="4" w:space="4"/>
      </w:pBdr>
    </w:pPr>
    <w:rPr>
      <w:rFonts w:eastAsiaTheme="minorEastAsia"/>
      <w:b/>
      <w:bCs/>
      <w:i/>
      <w:iCs/>
      <w:color w:val="5b9bd5" w:themeColor="accent1"/>
      <w:lang w:eastAsia="ru-RU"/>
    </w:rPr>
  </w:style>
  <w:style w:type="character" w:styleId="959" w:customStyle="1">
    <w:name w:val="Выделенная цитата Знак"/>
    <w:basedOn w:val="939"/>
    <w:link w:val="958"/>
    <w:uiPriority w:val="30"/>
    <w:rPr>
      <w:rFonts w:ascii="Times New Roman" w:hAnsi="Times New Roman" w:eastAsiaTheme="minorEastAsia"/>
      <w:b/>
      <w:bCs/>
      <w:i/>
      <w:iCs/>
      <w:color w:val="5b9bd5" w:themeColor="accent1"/>
      <w:sz w:val="28"/>
      <w:lang w:eastAsia="ru-RU"/>
    </w:rPr>
  </w:style>
  <w:style w:type="character" w:styleId="960" w:customStyle="1">
    <w:name w:val="Header Char"/>
    <w:basedOn w:val="939"/>
    <w:uiPriority w:val="99"/>
  </w:style>
  <w:style w:type="character" w:styleId="961" w:customStyle="1">
    <w:name w:val="Footer Char"/>
    <w:basedOn w:val="939"/>
    <w:uiPriority w:val="99"/>
  </w:style>
  <w:style w:type="paragraph" w:styleId="962">
    <w:name w:val="Caption"/>
    <w:basedOn w:val="929"/>
    <w:next w:val="929"/>
    <w:unhideWhenUsed/>
    <w:qFormat/>
    <w:pPr>
      <w:spacing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character" w:styleId="963" w:customStyle="1">
    <w:name w:val="Caption Char"/>
    <w:uiPriority w:val="99"/>
  </w:style>
  <w:style w:type="table" w:styleId="964" w:customStyle="1">
    <w:name w:val="Table Grid Light"/>
    <w:basedOn w:val="94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5">
    <w:name w:val="Plain Table 1"/>
    <w:basedOn w:val="94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6">
    <w:name w:val="Plain Table 2"/>
    <w:basedOn w:val="94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7">
    <w:name w:val="Plain Table 3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8">
    <w:name w:val="Plain Table 4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>
    <w:name w:val="Plain Table 5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70">
    <w:name w:val="Grid Table 1 Light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Grid Table 1 Light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Grid Table 1 Light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Grid Table 1 Light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Grid Table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Grid Table 2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Grid Table 2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2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>
    <w:name w:val="Grid Table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3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3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Grid Table 4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2" w:customStyle="1">
    <w:name w:val="Grid Table 4 - Accent 1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93" w:customStyle="1">
    <w:name w:val="Grid Table 4 - Accent 2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94" w:customStyle="1">
    <w:name w:val="Grid Table 4 - Accent 3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95" w:customStyle="1">
    <w:name w:val="Grid Table 4 - Accent 4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96" w:customStyle="1">
    <w:name w:val="Grid Table 4 - Accent 5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997" w:customStyle="1">
    <w:name w:val="Grid Table 4 - Accent 6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98">
    <w:name w:val="Grid Table 5 Dark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99" w:customStyle="1">
    <w:name w:val="Grid Table 5 Dark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000" w:customStyle="1">
    <w:name w:val="Grid Table 5 Dark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04" w:customStyle="1">
    <w:name w:val="Grid Table 5 Dark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05">
    <w:name w:val="Grid Table 6 Colorful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6" w:customStyle="1">
    <w:name w:val="Grid Table 6 Colorful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07" w:customStyle="1">
    <w:name w:val="Grid Table 6 Colorful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08" w:customStyle="1">
    <w:name w:val="Grid Table 6 Colorful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09" w:customStyle="1">
    <w:name w:val="Grid Table 6 Colorful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10" w:customStyle="1">
    <w:name w:val="Grid Table 6 Colorful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1" w:customStyle="1">
    <w:name w:val="Grid Table 6 Colorful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2">
    <w:name w:val="Grid Table 7 Colorful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3" w:customStyle="1">
    <w:name w:val="Grid Table 7 Colorful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4" w:customStyle="1">
    <w:name w:val="Grid Table 7 Colorful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5" w:customStyle="1">
    <w:name w:val="Grid Table 7 Colorful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6" w:customStyle="1">
    <w:name w:val="Grid Table 7 Colorful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7" w:customStyle="1">
    <w:name w:val="Grid Table 7 Colorful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8" w:customStyle="1">
    <w:name w:val="Grid Table 7 Colorful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9">
    <w:name w:val="List Table 1 Light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List Table 1 Light - Accent 1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 - Accent 2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3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4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5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 w:customStyle="1">
    <w:name w:val="List Table 1 Light - Accent 6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>
    <w:name w:val="List Table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7" w:customStyle="1">
    <w:name w:val="List Table 2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28" w:customStyle="1">
    <w:name w:val="List Table 2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32" w:customStyle="1">
    <w:name w:val="List Table 2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33">
    <w:name w:val="List Table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List Table 3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List Table 3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3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>
    <w:name w:val="List Table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4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List Table 4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>
    <w:name w:val="List Table 5 Dark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8" w:customStyle="1">
    <w:name w:val="List Table 5 Dark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9" w:customStyle="1">
    <w:name w:val="List Table 5 Dark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 w:customStyle="1">
    <w:name w:val="List Table 5 Dark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4">
    <w:name w:val="List Table 6 Colorful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5" w:customStyle="1">
    <w:name w:val="List Table 6 Colorful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56" w:customStyle="1">
    <w:name w:val="List Table 6 Colorful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57" w:customStyle="1">
    <w:name w:val="List Table 6 Colorful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58" w:customStyle="1">
    <w:name w:val="List Table 6 Colorful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59" w:customStyle="1">
    <w:name w:val="List Table 6 Colorful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60" w:customStyle="1">
    <w:name w:val="List Table 6 Colorful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61">
    <w:name w:val="List Table 7 Colorful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2" w:customStyle="1">
    <w:name w:val="List Table 7 Colorful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3" w:customStyle="1">
    <w:name w:val="List Table 7 Colorful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4" w:customStyle="1">
    <w:name w:val="List Table 7 Colorful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5" w:customStyle="1">
    <w:name w:val="List Table 7 Colorful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6" w:customStyle="1">
    <w:name w:val="List Table 7 Colorful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7" w:customStyle="1">
    <w:name w:val="List Table 7 Colorful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8" w:customStyle="1">
    <w:name w:val="Lined - Accent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9" w:customStyle="1">
    <w:name w:val="Lined - Accent 1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0" w:customStyle="1">
    <w:name w:val="Lined - Accent 2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1" w:customStyle="1">
    <w:name w:val="Lined - Accent 3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2" w:customStyle="1">
    <w:name w:val="Lined - Accent 4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73" w:customStyle="1">
    <w:name w:val="Lined - Accent 5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74" w:customStyle="1">
    <w:name w:val="Lined - Accent 6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75" w:customStyle="1">
    <w:name w:val="Bordered &amp; Lined - Accent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6" w:customStyle="1">
    <w:name w:val="Bordered &amp; Lined - Accent 1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7" w:customStyle="1">
    <w:name w:val="Bordered &amp; Lined - Accent 2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8" w:customStyle="1">
    <w:name w:val="Bordered &amp; Lined - Accent 3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9" w:customStyle="1">
    <w:name w:val="Bordered &amp; Lined - Accent 4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80" w:customStyle="1">
    <w:name w:val="Bordered &amp; Lined - Accent 5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81" w:customStyle="1">
    <w:name w:val="Bordered &amp; Lined - Accent 6"/>
    <w:basedOn w:val="94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82" w:customStyle="1">
    <w:name w:val="Bordered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3" w:customStyle="1">
    <w:name w:val="Bordered - Accent 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84" w:customStyle="1">
    <w:name w:val="Bordered - Accent 2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85" w:customStyle="1">
    <w:name w:val="Bordered - Accent 3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86" w:customStyle="1">
    <w:name w:val="Bordered - Accent 4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87" w:customStyle="1">
    <w:name w:val="Bordered - Accent 5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88" w:customStyle="1">
    <w:name w:val="Bordered - Accent 6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089">
    <w:name w:val="Hyperlink"/>
    <w:basedOn w:val="939"/>
    <w:uiPriority w:val="99"/>
    <w:unhideWhenUsed/>
    <w:rPr>
      <w:color w:val="0563c1" w:themeColor="hyperlink"/>
      <w:u w:val="single"/>
    </w:rPr>
  </w:style>
  <w:style w:type="paragraph" w:styleId="1090">
    <w:name w:val="footnote text"/>
    <w:basedOn w:val="929"/>
    <w:link w:val="1091"/>
    <w:semiHidden/>
    <w:pPr>
      <w:ind w:left="40" w:firstLine="300"/>
      <w:spacing w:line="240" w:lineRule="auto"/>
      <w:widowControl w:val="off"/>
    </w:pPr>
    <w:rPr>
      <w:rFonts w:eastAsia="Times New Roman" w:cs="Times New Roman"/>
      <w:sz w:val="20"/>
      <w:szCs w:val="20"/>
      <w:lang w:eastAsia="ru-RU"/>
    </w:rPr>
  </w:style>
  <w:style w:type="character" w:styleId="1091" w:customStyle="1">
    <w:name w:val="Текст сноски Знак"/>
    <w:basedOn w:val="939"/>
    <w:link w:val="1090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92">
    <w:name w:val="footnote reference"/>
    <w:rPr>
      <w:vertAlign w:val="superscript"/>
    </w:rPr>
  </w:style>
  <w:style w:type="paragraph" w:styleId="1093">
    <w:name w:val="endnote text"/>
    <w:basedOn w:val="929"/>
    <w:link w:val="1094"/>
    <w:uiPriority w:val="99"/>
    <w:semiHidden/>
    <w:unhideWhenUsed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styleId="1094" w:customStyle="1">
    <w:name w:val="Текст концевой сноски Знак"/>
    <w:basedOn w:val="939"/>
    <w:link w:val="1093"/>
    <w:uiPriority w:val="99"/>
    <w:semiHidden/>
    <w:rPr>
      <w:rFonts w:ascii="Times New Roman" w:hAnsi="Times New Roman" w:eastAsiaTheme="minorEastAsia"/>
      <w:sz w:val="20"/>
      <w:szCs w:val="20"/>
      <w:lang w:eastAsia="ru-RU"/>
    </w:rPr>
  </w:style>
  <w:style w:type="character" w:styleId="1095">
    <w:name w:val="endnote reference"/>
    <w:basedOn w:val="939"/>
    <w:uiPriority w:val="99"/>
    <w:semiHidden/>
    <w:unhideWhenUsed/>
    <w:rPr>
      <w:vertAlign w:val="superscript"/>
    </w:rPr>
  </w:style>
  <w:style w:type="paragraph" w:styleId="1096">
    <w:name w:val="toc 1"/>
    <w:basedOn w:val="929"/>
    <w:next w:val="929"/>
    <w:uiPriority w:val="39"/>
    <w:unhideWhenUsed/>
    <w:pPr>
      <w:ind w:left="142"/>
      <w:tabs>
        <w:tab w:val="right" w:pos="9344" w:leader="dot"/>
      </w:tabs>
    </w:pPr>
    <w:rPr>
      <w:rFonts w:cs="Times New Roman" w:eastAsiaTheme="minorEastAsia"/>
      <w:szCs w:val="24"/>
      <w:lang w:eastAsia="ru-RU"/>
    </w:rPr>
  </w:style>
  <w:style w:type="paragraph" w:styleId="1097">
    <w:name w:val="toc 2"/>
    <w:basedOn w:val="929"/>
    <w:next w:val="929"/>
    <w:uiPriority w:val="39"/>
    <w:unhideWhenUsed/>
    <w:pPr>
      <w:ind w:left="284" w:right="-2"/>
      <w:tabs>
        <w:tab w:val="right" w:pos="9344" w:leader="dot"/>
      </w:tabs>
    </w:pPr>
    <w:rPr>
      <w:rFonts w:cs="Times New Roman" w:eastAsiaTheme="minorEastAsia"/>
      <w:szCs w:val="28"/>
      <w:lang w:eastAsia="ru-RU"/>
    </w:rPr>
  </w:style>
  <w:style w:type="paragraph" w:styleId="1098">
    <w:name w:val="toc 3"/>
    <w:basedOn w:val="929"/>
    <w:next w:val="929"/>
    <w:uiPriority w:val="39"/>
    <w:unhideWhenUsed/>
    <w:pPr>
      <w:ind w:left="560"/>
      <w:spacing w:line="276" w:lineRule="auto"/>
      <w:tabs>
        <w:tab w:val="right" w:pos="9344" w:leader="dot"/>
      </w:tabs>
    </w:pPr>
  </w:style>
  <w:style w:type="paragraph" w:styleId="1099">
    <w:name w:val="toc 4"/>
    <w:basedOn w:val="929"/>
    <w:next w:val="929"/>
    <w:uiPriority w:val="39"/>
    <w:unhideWhenUsed/>
    <w:pPr>
      <w:ind w:left="850"/>
      <w:spacing w:after="57"/>
    </w:pPr>
  </w:style>
  <w:style w:type="paragraph" w:styleId="1100">
    <w:name w:val="toc 5"/>
    <w:basedOn w:val="929"/>
    <w:next w:val="929"/>
    <w:uiPriority w:val="39"/>
    <w:unhideWhenUsed/>
    <w:pPr>
      <w:ind w:left="1134"/>
      <w:spacing w:after="57"/>
    </w:pPr>
  </w:style>
  <w:style w:type="paragraph" w:styleId="1101">
    <w:name w:val="toc 6"/>
    <w:basedOn w:val="929"/>
    <w:next w:val="929"/>
    <w:uiPriority w:val="39"/>
    <w:unhideWhenUsed/>
    <w:pPr>
      <w:ind w:left="1417"/>
      <w:spacing w:after="57"/>
    </w:pPr>
  </w:style>
  <w:style w:type="paragraph" w:styleId="1102">
    <w:name w:val="toc 7"/>
    <w:basedOn w:val="929"/>
    <w:next w:val="929"/>
    <w:uiPriority w:val="39"/>
    <w:unhideWhenUsed/>
    <w:pPr>
      <w:ind w:left="1680"/>
      <w:spacing w:after="100"/>
    </w:pPr>
  </w:style>
  <w:style w:type="paragraph" w:styleId="1103">
    <w:name w:val="toc 8"/>
    <w:basedOn w:val="929"/>
    <w:next w:val="929"/>
    <w:uiPriority w:val="39"/>
    <w:unhideWhenUsed/>
    <w:pPr>
      <w:ind w:left="1984"/>
      <w:spacing w:after="57"/>
    </w:pPr>
  </w:style>
  <w:style w:type="paragraph" w:styleId="1104">
    <w:name w:val="toc 9"/>
    <w:basedOn w:val="929"/>
    <w:next w:val="929"/>
    <w:uiPriority w:val="39"/>
    <w:unhideWhenUsed/>
    <w:pPr>
      <w:ind w:left="2268"/>
      <w:spacing w:after="57"/>
    </w:pPr>
  </w:style>
  <w:style w:type="paragraph" w:styleId="1105">
    <w:name w:val="TOC Heading"/>
    <w:basedOn w:val="930"/>
    <w:next w:val="929"/>
    <w:uiPriority w:val="39"/>
    <w:unhideWhenUsed/>
    <w:qFormat/>
    <w:pPr>
      <w:ind w:left="2552" w:hanging="1843"/>
      <w:outlineLvl w:val="9"/>
    </w:pPr>
  </w:style>
  <w:style w:type="paragraph" w:styleId="1106">
    <w:name w:val="table of figures"/>
    <w:basedOn w:val="929"/>
    <w:next w:val="929"/>
    <w:uiPriority w:val="99"/>
    <w:unhideWhenUsed/>
  </w:style>
  <w:style w:type="table" w:styleId="1107">
    <w:name w:val="Table Grid"/>
    <w:basedOn w:val="94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08">
    <w:name w:val="List Paragraph"/>
    <w:basedOn w:val="929"/>
    <w:link w:val="1153"/>
    <w:uiPriority w:val="34"/>
    <w:qFormat/>
    <w:pPr>
      <w:contextualSpacing/>
      <w:ind w:left="720"/>
      <w:spacing w:line="276" w:lineRule="auto"/>
    </w:pPr>
    <w:rPr>
      <w:rFonts w:eastAsiaTheme="minorEastAsia"/>
      <w:lang w:eastAsia="ru-RU"/>
    </w:rPr>
  </w:style>
  <w:style w:type="paragraph" w:styleId="1109">
    <w:name w:val="Header"/>
    <w:basedOn w:val="929"/>
    <w:link w:val="1110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1110" w:customStyle="1">
    <w:name w:val="Верхний колонтитул Знак"/>
    <w:basedOn w:val="939"/>
    <w:link w:val="1109"/>
    <w:uiPriority w:val="99"/>
    <w:rPr>
      <w:rFonts w:ascii="Times New Roman" w:hAnsi="Times New Roman"/>
      <w:sz w:val="28"/>
    </w:rPr>
  </w:style>
  <w:style w:type="paragraph" w:styleId="1111">
    <w:name w:val="Footer"/>
    <w:basedOn w:val="929"/>
    <w:link w:val="1112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1112" w:customStyle="1">
    <w:name w:val="Нижний колонтитул Знак"/>
    <w:basedOn w:val="939"/>
    <w:link w:val="1111"/>
    <w:uiPriority w:val="99"/>
    <w:rPr>
      <w:rFonts w:ascii="Times New Roman" w:hAnsi="Times New Roman"/>
      <w:sz w:val="24"/>
    </w:rPr>
  </w:style>
  <w:style w:type="character" w:styleId="1113">
    <w:name w:val="annotation reference"/>
    <w:basedOn w:val="939"/>
    <w:uiPriority w:val="99"/>
    <w:semiHidden/>
    <w:unhideWhenUsed/>
    <w:rPr>
      <w:sz w:val="16"/>
      <w:szCs w:val="16"/>
    </w:rPr>
  </w:style>
  <w:style w:type="paragraph" w:styleId="1114">
    <w:name w:val="annotation text"/>
    <w:basedOn w:val="929"/>
    <w:link w:val="1115"/>
    <w:uiPriority w:val="99"/>
    <w:unhideWhenUsed/>
    <w:pPr>
      <w:spacing w:line="240" w:lineRule="auto"/>
    </w:pPr>
    <w:rPr>
      <w:sz w:val="20"/>
      <w:szCs w:val="20"/>
    </w:rPr>
  </w:style>
  <w:style w:type="character" w:styleId="1115" w:customStyle="1">
    <w:name w:val="Текст примечания Знак"/>
    <w:basedOn w:val="939"/>
    <w:link w:val="1114"/>
    <w:uiPriority w:val="99"/>
    <w:rPr>
      <w:rFonts w:ascii="Times New Roman" w:hAnsi="Times New Roman"/>
      <w:sz w:val="20"/>
      <w:szCs w:val="20"/>
    </w:rPr>
  </w:style>
  <w:style w:type="paragraph" w:styleId="1116">
    <w:name w:val="annotation subject"/>
    <w:basedOn w:val="1114"/>
    <w:next w:val="1114"/>
    <w:link w:val="1117"/>
    <w:uiPriority w:val="99"/>
    <w:semiHidden/>
    <w:unhideWhenUsed/>
    <w:rPr>
      <w:b/>
      <w:bCs/>
    </w:rPr>
  </w:style>
  <w:style w:type="character" w:styleId="1117" w:customStyle="1">
    <w:name w:val="Тема примечания Знак"/>
    <w:basedOn w:val="1115"/>
    <w:link w:val="1116"/>
    <w:uiPriority w:val="99"/>
    <w:semiHidden/>
    <w:rPr>
      <w:rFonts w:ascii="Times New Roman" w:hAnsi="Times New Roman"/>
      <w:b/>
      <w:bCs/>
      <w:sz w:val="20"/>
      <w:szCs w:val="20"/>
    </w:rPr>
  </w:style>
  <w:style w:type="paragraph" w:styleId="1118">
    <w:name w:val="Balloon Text"/>
    <w:basedOn w:val="929"/>
    <w:link w:val="111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119" w:customStyle="1">
    <w:name w:val="Текст выноски Знак"/>
    <w:basedOn w:val="939"/>
    <w:link w:val="1118"/>
    <w:semiHidden/>
    <w:rPr>
      <w:rFonts w:ascii="Tahoma" w:hAnsi="Tahoma" w:cs="Tahoma"/>
      <w:sz w:val="16"/>
      <w:szCs w:val="16"/>
    </w:rPr>
  </w:style>
  <w:style w:type="character" w:styleId="1120" w:customStyle="1">
    <w:name w:val="Заголовок 1 Знак"/>
    <w:basedOn w:val="939"/>
    <w:link w:val="930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1121" w:customStyle="1">
    <w:name w:val="Заголовок 2 Знак"/>
    <w:basedOn w:val="939"/>
    <w:link w:val="931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1122" w:customStyle="1">
    <w:name w:val="Заголовок 3 Знак"/>
    <w:basedOn w:val="939"/>
    <w:link w:val="932"/>
    <w:rPr>
      <w:rFonts w:ascii="Times New Roman" w:hAnsi="Times New Roman" w:eastAsiaTheme="majorEastAsia" w:cstheme="majorBidi"/>
      <w:bCs/>
      <w:sz w:val="28"/>
      <w:lang w:eastAsia="ru-RU"/>
    </w:rPr>
  </w:style>
  <w:style w:type="paragraph" w:styleId="1123" w:customStyle="1">
    <w:name w:val="1.1 Заголовок"/>
    <w:basedOn w:val="930"/>
    <w:qFormat/>
    <w:pPr>
      <w:numPr>
        <w:ilvl w:val="0"/>
        <w:numId w:val="0"/>
      </w:numPr>
      <w:ind w:left="1495" w:hanging="360"/>
      <w:keepLines w:val="0"/>
      <w:spacing w:before="120" w:after="120" w:line="360" w:lineRule="auto"/>
      <w:tabs>
        <w:tab w:val="left" w:pos="1418" w:leader="none"/>
        <w:tab w:val="left" w:pos="2552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24" w:customStyle="1">
    <w:name w:val="1.1.1 Загол"/>
    <w:basedOn w:val="930"/>
    <w:qFormat/>
    <w:pPr>
      <w:numPr>
        <w:ilvl w:val="0"/>
        <w:numId w:val="0"/>
      </w:numPr>
      <w:ind w:left="1287" w:hanging="720"/>
      <w:keepLines w:val="0"/>
      <w:spacing w:before="360" w:after="120" w:line="360" w:lineRule="auto"/>
      <w:tabs>
        <w:tab w:val="left" w:pos="1701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25" w:customStyle="1">
    <w:name w:val="1.1.1.1 Текст"/>
    <w:basedOn w:val="929"/>
    <w:link w:val="1126"/>
    <w:qFormat/>
    <w:pPr>
      <w:ind w:left="1647" w:hanging="1080"/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8"/>
      <w:lang w:eastAsia="ru-RU"/>
    </w:rPr>
  </w:style>
  <w:style w:type="character" w:styleId="1126" w:customStyle="1">
    <w:name w:val="1.1.1.1 Текст Знак"/>
    <w:basedOn w:val="939"/>
    <w:link w:val="1125"/>
    <w:rPr>
      <w:rFonts w:ascii="Arial" w:hAnsi="Arial" w:cs="Arial" w:eastAsiaTheme="minorEastAsia"/>
      <w:sz w:val="24"/>
      <w:szCs w:val="28"/>
      <w:lang w:eastAsia="ru-RU"/>
    </w:rPr>
  </w:style>
  <w:style w:type="paragraph" w:styleId="1127" w:customStyle="1">
    <w:name w:val="1.1.1.1 РЭ"/>
    <w:basedOn w:val="1125"/>
    <w:link w:val="1128"/>
    <w:qFormat/>
    <w:pPr>
      <w:numPr>
        <w:ilvl w:val="3"/>
        <w:numId w:val="17"/>
      </w:numPr>
    </w:pPr>
    <w:rPr>
      <w:szCs w:val="24"/>
    </w:rPr>
  </w:style>
  <w:style w:type="character" w:styleId="1128" w:customStyle="1">
    <w:name w:val="1.1.1.1 РЭ Знак"/>
    <w:basedOn w:val="939"/>
    <w:link w:val="1127"/>
    <w:rPr>
      <w:rFonts w:ascii="Arial" w:hAnsi="Arial" w:cs="Arial" w:eastAsiaTheme="minorEastAsia"/>
      <w:sz w:val="24"/>
      <w:szCs w:val="24"/>
      <w:lang w:eastAsia="ru-RU"/>
    </w:rPr>
  </w:style>
  <w:style w:type="paragraph" w:styleId="1129" w:customStyle="1">
    <w:name w:val="2.1.1.1 РЭ"/>
    <w:basedOn w:val="929"/>
    <w:link w:val="1130"/>
    <w:qFormat/>
    <w:pPr>
      <w:numPr>
        <w:ilvl w:val="3"/>
        <w:numId w:val="8"/>
      </w:numPr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4"/>
      <w:lang w:eastAsia="ru-RU"/>
    </w:rPr>
  </w:style>
  <w:style w:type="character" w:styleId="1130" w:customStyle="1">
    <w:name w:val="2.1.1.1 РЭ Знак"/>
    <w:basedOn w:val="939"/>
    <w:link w:val="1129"/>
    <w:rPr>
      <w:rFonts w:ascii="Arial" w:hAnsi="Arial" w:cs="Arial" w:eastAsiaTheme="minorEastAsia"/>
      <w:sz w:val="24"/>
      <w:szCs w:val="24"/>
      <w:lang w:eastAsia="ru-RU"/>
    </w:rPr>
  </w:style>
  <w:style w:type="paragraph" w:styleId="1131" w:customStyle="1">
    <w:name w:val="ali566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en-US" w:eastAsia="ru-RU"/>
    </w:rPr>
  </w:style>
  <w:style w:type="paragraph" w:styleId="1132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133" w:customStyle="1">
    <w:name w:val="docdata"/>
    <w:basedOn w:val="92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34" w:customStyle="1">
    <w:name w:val="docy"/>
    <w:basedOn w:val="939"/>
  </w:style>
  <w:style w:type="character" w:styleId="1135" w:customStyle="1">
    <w:name w:val="Endnote Text Char"/>
    <w:uiPriority w:val="99"/>
    <w:rPr>
      <w:sz w:val="20"/>
    </w:rPr>
  </w:style>
  <w:style w:type="character" w:styleId="1136" w:customStyle="1">
    <w:name w:val="eop"/>
    <w:basedOn w:val="939"/>
  </w:style>
  <w:style w:type="character" w:styleId="1137" w:customStyle="1">
    <w:name w:val="Font Style11"/>
    <w:rPr>
      <w:rFonts w:hint="default" w:ascii="Times New Roman" w:hAnsi="Times New Roman" w:cs="Times New Roman"/>
      <w:sz w:val="24"/>
      <w:szCs w:val="24"/>
    </w:rPr>
  </w:style>
  <w:style w:type="character" w:styleId="1138" w:customStyle="1">
    <w:name w:val="Footnote Text Char"/>
    <w:uiPriority w:val="99"/>
    <w:rPr>
      <w:sz w:val="18"/>
    </w:rPr>
  </w:style>
  <w:style w:type="character" w:styleId="1139" w:customStyle="1">
    <w:name w:val="Heading 4 Char"/>
    <w:basedOn w:val="939"/>
    <w:uiPriority w:val="9"/>
    <w:rPr>
      <w:rFonts w:ascii="Arial" w:hAnsi="Arial" w:eastAsia="Arial" w:cs="Arial"/>
      <w:b/>
      <w:bCs/>
      <w:sz w:val="26"/>
      <w:szCs w:val="26"/>
    </w:rPr>
  </w:style>
  <w:style w:type="character" w:styleId="1140" w:customStyle="1">
    <w:name w:val="Heading 5 Char"/>
    <w:basedOn w:val="939"/>
    <w:uiPriority w:val="9"/>
    <w:rPr>
      <w:rFonts w:ascii="Arial" w:hAnsi="Arial" w:eastAsia="Arial" w:cs="Arial"/>
      <w:b/>
      <w:bCs/>
      <w:sz w:val="24"/>
      <w:szCs w:val="24"/>
    </w:rPr>
  </w:style>
  <w:style w:type="character" w:styleId="1141" w:customStyle="1">
    <w:name w:val="Heading 6 Char"/>
    <w:basedOn w:val="939"/>
    <w:uiPriority w:val="9"/>
    <w:rPr>
      <w:rFonts w:ascii="Arial" w:hAnsi="Arial" w:eastAsia="Arial" w:cs="Arial"/>
      <w:b/>
      <w:bCs/>
      <w:sz w:val="22"/>
      <w:szCs w:val="22"/>
    </w:rPr>
  </w:style>
  <w:style w:type="character" w:styleId="1142" w:customStyle="1">
    <w:name w:val="Heading 7 Char"/>
    <w:basedOn w:val="93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143" w:customStyle="1">
    <w:name w:val="Heading 8 Char"/>
    <w:basedOn w:val="939"/>
    <w:uiPriority w:val="9"/>
    <w:rPr>
      <w:rFonts w:ascii="Arial" w:hAnsi="Arial" w:eastAsia="Arial" w:cs="Arial"/>
      <w:i/>
      <w:iCs/>
      <w:sz w:val="22"/>
      <w:szCs w:val="22"/>
    </w:rPr>
  </w:style>
  <w:style w:type="character" w:styleId="1144" w:customStyle="1">
    <w:name w:val="Heading 9 Char"/>
    <w:basedOn w:val="939"/>
    <w:uiPriority w:val="9"/>
    <w:rPr>
      <w:rFonts w:ascii="Arial" w:hAnsi="Arial" w:eastAsia="Arial" w:cs="Arial"/>
      <w:i/>
      <w:iCs/>
      <w:sz w:val="21"/>
      <w:szCs w:val="21"/>
    </w:rPr>
  </w:style>
  <w:style w:type="character" w:styleId="1145" w:customStyle="1">
    <w:name w:val="Intense Quote Char"/>
    <w:uiPriority w:val="30"/>
    <w:rPr>
      <w:i/>
    </w:rPr>
  </w:style>
  <w:style w:type="paragraph" w:styleId="1146" w:customStyle="1">
    <w:name w:val="Normal1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47" w:customStyle="1">
    <w:name w:val="normaltextrun"/>
    <w:basedOn w:val="939"/>
  </w:style>
  <w:style w:type="character" w:styleId="1148" w:customStyle="1">
    <w:name w:val="Quote Char"/>
    <w:uiPriority w:val="29"/>
    <w:rPr>
      <w:i/>
    </w:rPr>
  </w:style>
  <w:style w:type="paragraph" w:styleId="1149" w:customStyle="1">
    <w:name w:val="qwe"/>
    <w:basedOn w:val="929"/>
    <w:uiPriority w:val="99"/>
    <w:pPr>
      <w:ind w:firstLine="624"/>
    </w:pPr>
    <w:rPr>
      <w:rFonts w:eastAsia="Times New Roman" w:cs="Times New Roman"/>
      <w:sz w:val="24"/>
      <w:szCs w:val="24"/>
      <w:lang w:eastAsia="ru-RU"/>
    </w:rPr>
  </w:style>
  <w:style w:type="character" w:styleId="1150" w:customStyle="1">
    <w:name w:val="Subtitle Char"/>
    <w:basedOn w:val="939"/>
    <w:uiPriority w:val="11"/>
    <w:rPr>
      <w:sz w:val="24"/>
      <w:szCs w:val="24"/>
    </w:rPr>
  </w:style>
  <w:style w:type="paragraph" w:styleId="1151" w:customStyle="1">
    <w:name w:val="Table Paragraph"/>
    <w:basedOn w:val="929"/>
    <w:uiPriority w:val="1"/>
    <w:qFormat/>
    <w:pPr>
      <w:spacing w:line="240" w:lineRule="auto"/>
      <w:widowControl w:val="off"/>
    </w:pPr>
    <w:rPr>
      <w:rFonts w:eastAsia="Times New Roman" w:cs="Times New Roman"/>
      <w:sz w:val="22"/>
    </w:rPr>
  </w:style>
  <w:style w:type="paragraph" w:styleId="1152" w:customStyle="1">
    <w:name w:val="Text 1"/>
    <w:basedOn w:val="929"/>
    <w:uiPriority w:val="99"/>
    <w:pPr>
      <w:numPr>
        <w:ilvl w:val="0"/>
        <w:numId w:val="11"/>
      </w:numPr>
      <w:keepLines/>
      <w:keepNext/>
      <w:spacing w:before="480" w:after="240" w:line="259" w:lineRule="auto"/>
      <w:outlineLvl w:val="0"/>
    </w:pPr>
    <w:rPr>
      <w:rFonts w:ascii="Arial" w:hAnsi="Arial" w:eastAsia="Calibri" w:cs="Times New Roman"/>
      <w:b/>
      <w:caps/>
      <w:spacing w:val="5"/>
      <w:sz w:val="24"/>
      <w:szCs w:val="36"/>
    </w:rPr>
  </w:style>
  <w:style w:type="character" w:styleId="1153" w:customStyle="1">
    <w:name w:val="Абзац списка Знак"/>
    <w:basedOn w:val="939"/>
    <w:link w:val="1108"/>
    <w:uiPriority w:val="34"/>
    <w:rPr>
      <w:rFonts w:ascii="Times New Roman" w:hAnsi="Times New Roman" w:eastAsiaTheme="minorEastAsia"/>
      <w:sz w:val="28"/>
      <w:lang w:eastAsia="ru-RU"/>
    </w:rPr>
  </w:style>
  <w:style w:type="paragraph" w:styleId="1154" w:customStyle="1">
    <w:name w:val="Text 2"/>
    <w:basedOn w:val="1108"/>
    <w:link w:val="1155"/>
    <w:uiPriority w:val="99"/>
    <w:pPr>
      <w:numPr>
        <w:ilvl w:val="1"/>
        <w:numId w:val="11"/>
      </w:numPr>
      <w:spacing w:after="160" w:line="259" w:lineRule="auto"/>
      <w:tabs>
        <w:tab w:val="left" w:pos="1560" w:leader="none"/>
      </w:tabs>
    </w:pPr>
    <w:rPr>
      <w:rFonts w:ascii="Arial" w:hAnsi="Arial" w:eastAsia="Calibri" w:cs="Times New Roman"/>
      <w:sz w:val="20"/>
      <w:szCs w:val="20"/>
    </w:rPr>
  </w:style>
  <w:style w:type="character" w:styleId="1155" w:customStyle="1">
    <w:name w:val="Text 2 Char"/>
    <w:basedOn w:val="939"/>
    <w:link w:val="1154"/>
    <w:uiPriority w:val="99"/>
    <w:rPr>
      <w:rFonts w:ascii="Arial" w:hAnsi="Arial" w:eastAsia="Calibri" w:cs="Times New Roman"/>
      <w:sz w:val="20"/>
      <w:szCs w:val="20"/>
      <w:lang w:eastAsia="ru-RU"/>
    </w:rPr>
  </w:style>
  <w:style w:type="paragraph" w:styleId="1156" w:customStyle="1">
    <w:name w:val="Text 3"/>
    <w:basedOn w:val="1154"/>
    <w:uiPriority w:val="99"/>
    <w:pPr>
      <w:numPr>
        <w:ilvl w:val="2"/>
      </w:numPr>
      <w:tabs>
        <w:tab w:val="num" w:pos="360" w:leader="none"/>
        <w:tab w:val="num" w:pos="1418" w:leader="none"/>
      </w:tabs>
    </w:pPr>
  </w:style>
  <w:style w:type="paragraph" w:styleId="1157">
    <w:name w:val="List Bullet"/>
    <w:basedOn w:val="929"/>
    <w:unhideWhenUsed/>
    <w:pPr>
      <w:contextualSpacing/>
      <w:ind w:left="1069" w:hanging="360"/>
      <w:spacing w:line="240" w:lineRule="auto"/>
      <w:tabs>
        <w:tab w:val="num" w:pos="709" w:leader="none"/>
      </w:tabs>
    </w:pPr>
    <w:rPr>
      <w:rFonts w:eastAsia="Times New Roman" w:cs="Times New Roman"/>
      <w:sz w:val="24"/>
      <w:szCs w:val="24"/>
      <w:lang w:eastAsia="ru-RU"/>
    </w:rPr>
  </w:style>
  <w:style w:type="paragraph" w:styleId="1158" w:customStyle="1">
    <w:name w:val="Tire"/>
    <w:basedOn w:val="1157"/>
    <w:next w:val="1159"/>
    <w:pPr>
      <w:contextualSpacing w:val="0"/>
      <w:ind w:left="1588" w:hanging="567"/>
      <w:spacing w:before="60" w:after="60"/>
      <w:widowControl w:val="off"/>
      <w:tabs>
        <w:tab w:val="left" w:pos="1021" w:leader="none"/>
      </w:tabs>
    </w:pPr>
    <w:rPr>
      <w:sz w:val="20"/>
      <w:szCs w:val="20"/>
    </w:rPr>
  </w:style>
  <w:style w:type="paragraph" w:styleId="1159">
    <w:name w:val="Normal Indent"/>
    <w:basedOn w:val="929"/>
    <w:unhideWhenUsed/>
    <w:pPr>
      <w:ind w:left="708"/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60" w:customStyle="1">
    <w:name w:val="Title Char"/>
    <w:basedOn w:val="939"/>
    <w:uiPriority w:val="10"/>
    <w:rPr>
      <w:sz w:val="48"/>
      <w:szCs w:val="48"/>
    </w:rPr>
  </w:style>
  <w:style w:type="character" w:styleId="1161">
    <w:name w:val="Emphasis"/>
    <w:basedOn w:val="939"/>
    <w:qFormat/>
    <w:rPr>
      <w:i/>
      <w:iCs/>
    </w:rPr>
  </w:style>
  <w:style w:type="paragraph" w:styleId="1162" w:customStyle="1">
    <w:name w:val="Заголовок 1 без нумерации"/>
    <w:basedOn w:val="930"/>
    <w:link w:val="1163"/>
    <w:qFormat/>
    <w:pPr>
      <w:numPr>
        <w:ilvl w:val="0"/>
        <w:numId w:val="0"/>
      </w:numPr>
      <w:ind w:firstLine="709"/>
      <w:pageBreakBefore/>
      <w:spacing w:before="240" w:after="240"/>
    </w:pPr>
    <w:rPr>
      <w:rFonts w:cs="Mangal"/>
      <w:b/>
      <w:bCs w:val="0"/>
      <w:color w:val="7030a0"/>
      <w:sz w:val="32"/>
      <w:szCs w:val="29"/>
      <w:lang w:eastAsia="zh-CN" w:bidi="hi-IN"/>
    </w:rPr>
  </w:style>
  <w:style w:type="character" w:styleId="1163" w:customStyle="1">
    <w:name w:val="Заголовок 1 без нумерации Знак"/>
    <w:basedOn w:val="1120"/>
    <w:link w:val="1162"/>
    <w:rPr>
      <w:rFonts w:ascii="Times New Roman" w:hAnsi="Times New Roman" w:cs="Mangal" w:eastAsiaTheme="majorEastAsia"/>
      <w:b/>
      <w:bCs w:val="0"/>
      <w:color w:val="7030a0"/>
      <w:sz w:val="32"/>
      <w:szCs w:val="29"/>
      <w:lang w:eastAsia="zh-CN" w:bidi="hi-IN"/>
    </w:rPr>
  </w:style>
  <w:style w:type="paragraph" w:styleId="1164" w:customStyle="1">
    <w:name w:val="Заголовок 1 ТУ"/>
    <w:basedOn w:val="929"/>
    <w:next w:val="929"/>
    <w:link w:val="1165"/>
    <w:qFormat/>
    <w:pPr>
      <w:spacing w:after="200"/>
    </w:pPr>
    <w:rPr>
      <w:rFonts w:cs="Times New Roman" w:eastAsiaTheme="minorEastAsia"/>
      <w:szCs w:val="28"/>
      <w:lang w:eastAsia="ru-RU"/>
    </w:rPr>
  </w:style>
  <w:style w:type="character" w:styleId="1165" w:customStyle="1">
    <w:name w:val="Заголовок 1 ТУ Знак"/>
    <w:basedOn w:val="939"/>
    <w:link w:val="1164"/>
    <w:rPr>
      <w:rFonts w:ascii="Times New Roman" w:hAnsi="Times New Roman" w:cs="Times New Roman" w:eastAsiaTheme="minorEastAsia"/>
      <w:sz w:val="28"/>
      <w:szCs w:val="28"/>
      <w:lang w:eastAsia="ru-RU"/>
    </w:rPr>
  </w:style>
  <w:style w:type="paragraph" w:styleId="1166" w:customStyle="1">
    <w:name w:val="Заголовок 2 без нумерации"/>
    <w:basedOn w:val="931"/>
    <w:link w:val="1167"/>
    <w:qFormat/>
    <w:pPr>
      <w:numPr>
        <w:ilvl w:val="0"/>
        <w:numId w:val="0"/>
      </w:numPr>
      <w:ind w:firstLine="709"/>
      <w:spacing w:before="240" w:after="240"/>
    </w:pPr>
    <w:rPr>
      <w:rFonts w:cs="Mangal"/>
      <w:color w:val="000000" w:themeColor="text1"/>
      <w:lang w:eastAsia="zh-CN" w:bidi="hi-IN"/>
    </w:rPr>
  </w:style>
  <w:style w:type="character" w:styleId="1167" w:customStyle="1">
    <w:name w:val="Заголовок 2 без нумерации Знак"/>
    <w:basedOn w:val="939"/>
    <w:link w:val="1166"/>
    <w:rPr>
      <w:rFonts w:ascii="Times New Roman" w:hAnsi="Times New Roman" w:cs="Mangal" w:eastAsiaTheme="majorEastAsia"/>
      <w:bCs/>
      <w:color w:val="000000" w:themeColor="text1"/>
      <w:sz w:val="28"/>
      <w:szCs w:val="28"/>
      <w:lang w:eastAsia="zh-CN" w:bidi="hi-IN"/>
    </w:rPr>
  </w:style>
  <w:style w:type="paragraph" w:styleId="1168" w:customStyle="1">
    <w:name w:val="заголовок 6"/>
    <w:basedOn w:val="929"/>
    <w:next w:val="929"/>
    <w:pPr>
      <w:jc w:val="center"/>
      <w:keepNext/>
      <w:spacing w:line="240" w:lineRule="auto"/>
      <w:outlineLvl w:val="5"/>
    </w:pPr>
    <w:rPr>
      <w:rFonts w:eastAsia="Times New Roman" w:cs="Times New Roman"/>
      <w:b/>
      <w:bCs/>
      <w:szCs w:val="28"/>
      <w:lang w:eastAsia="ru-RU"/>
    </w:rPr>
  </w:style>
  <w:style w:type="paragraph" w:styleId="1169">
    <w:name w:val="Note Heading"/>
    <w:basedOn w:val="929"/>
    <w:next w:val="929"/>
    <w:link w:val="1170"/>
    <w:uiPriority w:val="99"/>
    <w:semiHidden/>
    <w:unhideWhenUsed/>
    <w:pPr>
      <w:spacing w:line="240" w:lineRule="auto"/>
    </w:pPr>
    <w:rPr>
      <w:rFonts w:eastAsiaTheme="minorEastAsia"/>
      <w:lang w:eastAsia="ru-RU"/>
    </w:rPr>
  </w:style>
  <w:style w:type="character" w:styleId="1170" w:customStyle="1">
    <w:name w:val="Заголовок записки Знак"/>
    <w:basedOn w:val="939"/>
    <w:link w:val="1169"/>
    <w:uiPriority w:val="99"/>
    <w:semiHidden/>
    <w:rPr>
      <w:rFonts w:ascii="Times New Roman" w:hAnsi="Times New Roman" w:eastAsiaTheme="minorEastAsia"/>
      <w:sz w:val="28"/>
      <w:lang w:eastAsia="ru-RU"/>
    </w:rPr>
  </w:style>
  <w:style w:type="paragraph" w:styleId="1171" w:customStyle="1">
    <w:name w:val="Заголовок приложения"/>
    <w:basedOn w:val="929"/>
    <w:qFormat/>
    <w:pPr>
      <w:numPr>
        <w:ilvl w:val="0"/>
        <w:numId w:val="16"/>
      </w:numPr>
      <w:jc w:val="center"/>
      <w:keepLines/>
      <w:keepNext/>
      <w:pageBreakBefore/>
      <w:spacing w:after="480" w:line="240" w:lineRule="auto"/>
      <w:outlineLvl w:val="0"/>
    </w:pPr>
    <w:rPr>
      <w:rFonts w:eastAsiaTheme="minorEastAsia"/>
      <w:sz w:val="24"/>
      <w:lang w:eastAsia="ru-RU"/>
    </w:rPr>
  </w:style>
  <w:style w:type="paragraph" w:styleId="1172" w:customStyle="1">
    <w:name w:val="Заголовок таблицы"/>
    <w:basedOn w:val="929"/>
    <w:qFormat/>
    <w:pPr>
      <w:jc w:val="center"/>
      <w:keepNext/>
      <w:spacing w:line="240" w:lineRule="auto"/>
    </w:pPr>
    <w:rPr>
      <w:rFonts w:eastAsiaTheme="minorEastAsia"/>
      <w:lang w:eastAsia="ru-RU"/>
    </w:rPr>
  </w:style>
  <w:style w:type="character" w:styleId="1173">
    <w:name w:val="Placeholder Text"/>
    <w:basedOn w:val="939"/>
    <w:uiPriority w:val="99"/>
    <w:semiHidden/>
    <w:rPr>
      <w:color w:val="808080"/>
    </w:rPr>
  </w:style>
  <w:style w:type="paragraph" w:styleId="1174" w:customStyle="1">
    <w:name w:val="маркированный список"/>
    <w:basedOn w:val="929"/>
    <w:pPr>
      <w:numPr>
        <w:ilvl w:val="0"/>
        <w:numId w:val="17"/>
      </w:numPr>
      <w:spacing w:line="240" w:lineRule="auto"/>
    </w:pPr>
    <w:rPr>
      <w:rFonts w:ascii="Arial" w:hAnsi="Arial" w:eastAsia="Times New Roman" w:cs="Times New Roman"/>
      <w:sz w:val="22"/>
      <w:szCs w:val="24"/>
      <w:lang w:eastAsia="ru-RU"/>
    </w:rPr>
  </w:style>
  <w:style w:type="character" w:styleId="1175">
    <w:name w:val="Book Title"/>
    <w:basedOn w:val="939"/>
    <w:uiPriority w:val="33"/>
    <w:qFormat/>
    <w:rPr>
      <w:b/>
      <w:bCs/>
      <w:smallCaps/>
      <w:spacing w:val="5"/>
    </w:rPr>
  </w:style>
  <w:style w:type="paragraph" w:styleId="1176" w:customStyle="1">
    <w:name w:val="Наименование рисунка"/>
    <w:basedOn w:val="929"/>
    <w:next w:val="929"/>
    <w:qFormat/>
    <w:pPr>
      <w:jc w:val="center"/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1177" w:customStyle="1">
    <w:name w:val="Наименование таблицы"/>
    <w:basedOn w:val="929"/>
    <w:qFormat/>
    <w:pPr>
      <w:keepNext/>
      <w:spacing w:before="100" w:beforeAutospacing="1" w:line="240" w:lineRule="auto"/>
    </w:pPr>
    <w:rPr>
      <w:rFonts w:eastAsiaTheme="minorEastAsia"/>
      <w:lang w:eastAsia="ru-RU"/>
    </w:rPr>
  </w:style>
  <w:style w:type="paragraph" w:styleId="1178" w:customStyle="1">
    <w:name w:val="Обычный текст"/>
    <w:basedOn w:val="929"/>
    <w:qFormat/>
    <w:pPr>
      <w:ind w:firstLine="709"/>
    </w:pPr>
    <w:rPr>
      <w:rFonts w:eastAsiaTheme="minorEastAsia"/>
      <w:lang w:eastAsia="ru-RU"/>
    </w:rPr>
  </w:style>
  <w:style w:type="paragraph" w:styleId="1179" w:customStyle="1">
    <w:name w:val="Начало перечисления"/>
    <w:basedOn w:val="1178"/>
    <w:pPr>
      <w:keepNext/>
    </w:pPr>
  </w:style>
  <w:style w:type="character" w:styleId="1180">
    <w:name w:val="Unresolved Mention"/>
    <w:basedOn w:val="939"/>
    <w:uiPriority w:val="99"/>
    <w:semiHidden/>
    <w:unhideWhenUsed/>
    <w:rPr>
      <w:color w:val="605e5c"/>
      <w:shd w:val="clear" w:color="auto" w:fill="e1dfdd"/>
    </w:rPr>
  </w:style>
  <w:style w:type="character" w:styleId="1181">
    <w:name w:val="page number"/>
    <w:basedOn w:val="939"/>
  </w:style>
  <w:style w:type="paragraph" w:styleId="1182">
    <w:name w:val="Normal (Web)"/>
    <w:basedOn w:val="929"/>
    <w:uiPriority w:val="99"/>
    <w:semiHidden/>
    <w:unhideWhenUsed/>
    <w:pPr>
      <w:spacing w:before="100" w:beforeAutospacing="1" w:after="100" w:afterAutospacing="1" w:line="240" w:lineRule="auto"/>
    </w:pPr>
    <w:rPr>
      <w:rFonts w:cs="Times New Roman" w:eastAsiaTheme="minorEastAsia"/>
      <w:szCs w:val="24"/>
      <w:lang w:eastAsia="ru-RU"/>
    </w:rPr>
  </w:style>
  <w:style w:type="paragraph" w:styleId="1183" w:customStyle="1">
    <w:name w:val="Обычный уровень 3"/>
    <w:basedOn w:val="929"/>
    <w:link w:val="1184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84" w:customStyle="1">
    <w:name w:val="Обычный уровень 3 Знак"/>
    <w:basedOn w:val="939"/>
    <w:link w:val="1183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85" w:customStyle="1">
    <w:name w:val="Обычный уровень 3 без нумерации"/>
    <w:basedOn w:val="929"/>
    <w:link w:val="1186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86" w:customStyle="1">
    <w:name w:val="Обычный уровень 3 без нумерации Знак"/>
    <w:basedOn w:val="939"/>
    <w:link w:val="1185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87" w:customStyle="1">
    <w:name w:val="Обычный уровень 4"/>
    <w:basedOn w:val="1183"/>
    <w:qFormat/>
    <w:pPr>
      <w:ind w:left="2880" w:hanging="360"/>
      <w:outlineLvl w:val="3"/>
    </w:pPr>
  </w:style>
  <w:style w:type="paragraph" w:styleId="1188" w:customStyle="1">
    <w:name w:val="Обычный уровень 5"/>
    <w:basedOn w:val="1187"/>
    <w:qFormat/>
    <w:pPr>
      <w:ind w:left="3600"/>
      <w:outlineLvl w:val="4"/>
    </w:pPr>
  </w:style>
  <w:style w:type="paragraph" w:styleId="1189" w:customStyle="1">
    <w:name w:val="Оглавление"/>
    <w:basedOn w:val="929"/>
    <w:qFormat/>
    <w:pPr>
      <w:ind w:right="567"/>
      <w:spacing w:line="240" w:lineRule="auto"/>
      <w:tabs>
        <w:tab w:val="left" w:pos="709" w:leader="none"/>
        <w:tab w:val="right" w:pos="9356" w:leader="dot"/>
      </w:tabs>
    </w:pPr>
    <w:rPr>
      <w:rFonts w:eastAsiaTheme="minorEastAsia"/>
      <w:lang w:eastAsia="ru-RU"/>
    </w:rPr>
  </w:style>
  <w:style w:type="paragraph" w:styleId="1190">
    <w:name w:val="Body Text"/>
    <w:basedOn w:val="929"/>
    <w:link w:val="1191"/>
    <w:unhideWhenUsed/>
    <w:qFormat/>
  </w:style>
  <w:style w:type="character" w:styleId="1191" w:customStyle="1">
    <w:name w:val="Основной текст Знак"/>
    <w:basedOn w:val="939"/>
    <w:link w:val="1190"/>
    <w:rPr>
      <w:rFonts w:ascii="Times New Roman" w:hAnsi="Times New Roman"/>
      <w:sz w:val="28"/>
    </w:rPr>
  </w:style>
  <w:style w:type="paragraph" w:styleId="1192" w:customStyle="1">
    <w:name w:val="Основной текст (2)"/>
    <w:basedOn w:val="929"/>
    <w:link w:val="1193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93" w:customStyle="1">
    <w:name w:val="Основной текст (2)_"/>
    <w:basedOn w:val="939"/>
    <w:link w:val="1192"/>
    <w:rPr>
      <w:rFonts w:ascii="Times New Roman" w:hAnsi="Times New Roman" w:eastAsia="Times New Roman" w:cs="Times New Roman"/>
    </w:rPr>
  </w:style>
  <w:style w:type="paragraph" w:styleId="1194">
    <w:name w:val="Body Text 2"/>
    <w:basedOn w:val="929"/>
    <w:link w:val="1195"/>
    <w:pPr>
      <w:jc w:val="center"/>
      <w:spacing w:after="120" w:line="480" w:lineRule="auto"/>
    </w:pPr>
    <w:rPr>
      <w:rFonts w:eastAsia="Times New Roman" w:cs="Times New Roman"/>
      <w:sz w:val="20"/>
      <w:szCs w:val="20"/>
      <w:lang w:eastAsia="ru-RU"/>
    </w:rPr>
  </w:style>
  <w:style w:type="character" w:styleId="1195" w:customStyle="1">
    <w:name w:val="Основной текст 2 Знак"/>
    <w:basedOn w:val="939"/>
    <w:link w:val="119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96" w:customStyle="1">
    <w:name w:val="Основной текст 21"/>
    <w:basedOn w:val="929"/>
    <w:pPr>
      <w:ind w:firstLine="709"/>
      <w:spacing w:after="120" w:line="300" w:lineRule="auto"/>
    </w:pPr>
    <w:rPr>
      <w:rFonts w:eastAsia="Times New Roman" w:cs="Times New Roman"/>
      <w:szCs w:val="20"/>
      <w:lang w:eastAsia="ar-SA"/>
    </w:rPr>
  </w:style>
  <w:style w:type="paragraph" w:styleId="1197" w:customStyle="1">
    <w:name w:val="Основной текст 31"/>
    <w:basedOn w:val="929"/>
    <w:pPr>
      <w:spacing w:line="240" w:lineRule="auto"/>
      <w:widowControl w:val="off"/>
    </w:pPr>
    <w:rPr>
      <w:rFonts w:ascii="Times New Roman CYR" w:hAnsi="Times New Roman CYR" w:eastAsia="Times New Roman" w:cs="Times New Roman"/>
      <w:szCs w:val="24"/>
      <w:lang w:val="en-US" w:eastAsia="ar-SA"/>
    </w:rPr>
  </w:style>
  <w:style w:type="paragraph" w:styleId="1198">
    <w:name w:val="Body Text Indent"/>
    <w:basedOn w:val="929"/>
    <w:link w:val="1199"/>
    <w:unhideWhenUsed/>
    <w:pPr>
      <w:ind w:left="283"/>
      <w:spacing w:after="120" w:line="440" w:lineRule="exact"/>
    </w:pPr>
    <w:rPr>
      <w:rFonts w:eastAsia="Times New Roman" w:cs="Times New Roman"/>
      <w:szCs w:val="28"/>
      <w:lang w:eastAsia="ru-RU"/>
    </w:rPr>
  </w:style>
  <w:style w:type="character" w:styleId="1199" w:customStyle="1">
    <w:name w:val="Основной текст с отступом Знак"/>
    <w:basedOn w:val="939"/>
    <w:link w:val="1198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200">
    <w:name w:val="Body Text Indent 2"/>
    <w:basedOn w:val="929"/>
    <w:link w:val="1201"/>
    <w:uiPriority w:val="99"/>
    <w:semiHidden/>
    <w:unhideWhenUsed/>
    <w:pPr>
      <w:ind w:left="283"/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styleId="1201" w:customStyle="1">
    <w:name w:val="Основной текст с отступом 2 Знак"/>
    <w:basedOn w:val="939"/>
    <w:link w:val="1200"/>
    <w:uiPriority w:val="99"/>
    <w:semiHidden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202">
    <w:name w:val="Body Text Indent 3"/>
    <w:basedOn w:val="929"/>
    <w:link w:val="1203"/>
    <w:unhideWhenUsed/>
    <w:pPr>
      <w:ind w:left="283"/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styleId="1203" w:customStyle="1">
    <w:name w:val="Основной текст с отступом 3 Знак"/>
    <w:basedOn w:val="939"/>
    <w:link w:val="1202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204" w:customStyle="1">
    <w:name w:val="Основной текст1"/>
    <w:basedOn w:val="929"/>
    <w:link w:val="1205"/>
    <w:pPr>
      <w:ind w:firstLine="400"/>
      <w:spacing w:line="276" w:lineRule="auto"/>
      <w:widowControl w:val="off"/>
    </w:pPr>
    <w:rPr>
      <w:rFonts w:eastAsia="Times New Roman" w:cs="Times New Roman"/>
      <w:szCs w:val="28"/>
    </w:rPr>
  </w:style>
  <w:style w:type="character" w:styleId="1205" w:customStyle="1">
    <w:name w:val="Основной текст_"/>
    <w:basedOn w:val="939"/>
    <w:link w:val="1204"/>
    <w:rPr>
      <w:rFonts w:ascii="Times New Roman" w:hAnsi="Times New Roman" w:eastAsia="Times New Roman" w:cs="Times New Roman"/>
      <w:sz w:val="28"/>
      <w:szCs w:val="28"/>
    </w:rPr>
  </w:style>
  <w:style w:type="paragraph" w:styleId="1206" w:customStyle="1">
    <w:name w:val="Перечисление"/>
    <w:basedOn w:val="1178"/>
    <w:qFormat/>
    <w:pPr>
      <w:numPr>
        <w:ilvl w:val="0"/>
        <w:numId w:val="18"/>
      </w:numPr>
      <w:tabs>
        <w:tab w:val="left" w:pos="907" w:leader="none"/>
      </w:tabs>
    </w:pPr>
  </w:style>
  <w:style w:type="paragraph" w:styleId="1207" w:customStyle="1">
    <w:name w:val="Текст таблицы"/>
    <w:basedOn w:val="929"/>
    <w:qFormat/>
    <w:pPr>
      <w:spacing w:line="240" w:lineRule="auto"/>
    </w:pPr>
    <w:rPr>
      <w:rFonts w:eastAsiaTheme="minorEastAsia"/>
      <w:lang w:eastAsia="ru-RU"/>
    </w:rPr>
  </w:style>
  <w:style w:type="paragraph" w:styleId="1208" w:customStyle="1">
    <w:name w:val="Перечисление таблицы"/>
    <w:basedOn w:val="1207"/>
    <w:qFormat/>
    <w:pPr>
      <w:jc w:val="center"/>
    </w:pPr>
  </w:style>
  <w:style w:type="paragraph" w:styleId="1209" w:customStyle="1">
    <w:name w:val="По правому краю"/>
    <w:basedOn w:val="929"/>
    <w:pPr>
      <w:jc w:val="right"/>
    </w:pPr>
    <w:rPr>
      <w:rFonts w:eastAsia="Times New Roman" w:cs="Times New Roman"/>
      <w:szCs w:val="20"/>
      <w:lang w:eastAsia="ru-RU"/>
    </w:rPr>
  </w:style>
  <w:style w:type="paragraph" w:styleId="1210" w:customStyle="1">
    <w:name w:val="Подпись к картинке"/>
    <w:basedOn w:val="929"/>
    <w:link w:val="1211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211" w:customStyle="1">
    <w:name w:val="Подпись к картинке_"/>
    <w:basedOn w:val="939"/>
    <w:link w:val="1210"/>
    <w:rPr>
      <w:rFonts w:ascii="Times New Roman" w:hAnsi="Times New Roman" w:eastAsia="Times New Roman" w:cs="Times New Roman"/>
    </w:rPr>
  </w:style>
  <w:style w:type="paragraph" w:styleId="1212" w:customStyle="1">
    <w:name w:val="Примечание"/>
    <w:basedOn w:val="929"/>
    <w:qFormat/>
    <w:pPr>
      <w:ind w:firstLine="709"/>
    </w:pPr>
    <w:rPr>
      <w:rFonts w:eastAsiaTheme="minorEastAsia"/>
      <w:sz w:val="24"/>
      <w:lang w:eastAsia="ru-RU"/>
    </w:rPr>
  </w:style>
  <w:style w:type="paragraph" w:styleId="1213" w:customStyle="1">
    <w:name w:val="Примечание таблицы"/>
    <w:basedOn w:val="1212"/>
    <w:qFormat/>
    <w:pPr>
      <w:ind w:firstLine="0"/>
      <w:spacing w:line="240" w:lineRule="auto"/>
    </w:pPr>
  </w:style>
  <w:style w:type="character" w:styleId="1214">
    <w:name w:val="FollowedHyperlink"/>
    <w:basedOn w:val="939"/>
    <w:uiPriority w:val="99"/>
    <w:semiHidden/>
    <w:unhideWhenUsed/>
    <w:rPr>
      <w:color w:val="954f72" w:themeColor="followedHyperlink"/>
      <w:u w:val="single"/>
    </w:rPr>
  </w:style>
  <w:style w:type="paragraph" w:styleId="1215" w:customStyle="1">
    <w:name w:val="Рисунок"/>
    <w:basedOn w:val="1178"/>
    <w:next w:val="1176"/>
    <w:qFormat/>
    <w:pPr>
      <w:ind w:firstLine="0"/>
      <w:jc w:val="center"/>
      <w:keepNext/>
      <w:spacing w:before="100" w:beforeAutospacing="1" w:line="240" w:lineRule="auto"/>
    </w:pPr>
  </w:style>
  <w:style w:type="table" w:styleId="1216" w:customStyle="1">
    <w:name w:val="Сетка с таблицы1"/>
    <w:basedOn w:val="940"/>
    <w:next w:val="110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217" w:customStyle="1">
    <w:name w:val="Сетка таблицы1"/>
    <w:basedOn w:val="940"/>
    <w:next w:val="110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18">
    <w:name w:val="Intense Reference"/>
    <w:basedOn w:val="939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1219">
    <w:name w:val="Intense Emphasis"/>
    <w:basedOn w:val="939"/>
    <w:uiPriority w:val="21"/>
    <w:qFormat/>
    <w:rPr>
      <w:b/>
      <w:bCs/>
      <w:i/>
      <w:iCs/>
      <w:color w:val="5b9bd5" w:themeColor="accent1"/>
    </w:rPr>
  </w:style>
  <w:style w:type="character" w:styleId="1220">
    <w:name w:val="Subtle Reference"/>
    <w:basedOn w:val="939"/>
    <w:uiPriority w:val="31"/>
    <w:qFormat/>
    <w:rPr>
      <w:smallCaps/>
      <w:color w:val="ed7d31" w:themeColor="accent2"/>
      <w:u w:val="single"/>
    </w:rPr>
  </w:style>
  <w:style w:type="character" w:styleId="1221">
    <w:name w:val="Subtle Emphasis"/>
    <w:basedOn w:val="939"/>
    <w:uiPriority w:val="19"/>
    <w:qFormat/>
    <w:rPr>
      <w:i/>
      <w:iCs/>
      <w:color w:val="808080" w:themeColor="text1" w:themeTint="7F"/>
    </w:rPr>
  </w:style>
  <w:style w:type="table" w:styleId="1222" w:customStyle="1">
    <w:name w:val="Список-таблица 1 светлая1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3" w:customStyle="1">
    <w:name w:val="Список-таблица 2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224" w:customStyle="1">
    <w:name w:val="Список-таблица 3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5" w:customStyle="1">
    <w:name w:val="Список-таблица 4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6" w:customStyle="1">
    <w:name w:val="Список-таблица 5 тем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227" w:customStyle="1">
    <w:name w:val="Список-таблица 6 цвет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228" w:customStyle="1">
    <w:name w:val="Список-таблица 7 цвет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29" w:customStyle="1">
    <w:name w:val="Стиль 14 пт По ширине Первая строка:  125 см"/>
    <w:basedOn w:val="929"/>
    <w:uiPriority w:val="99"/>
    <w:pPr>
      <w:ind w:firstLine="709"/>
      <w:spacing w:line="240" w:lineRule="auto"/>
    </w:pPr>
    <w:rPr>
      <w:rFonts w:eastAsia="Times New Roman" w:cs="Times New Roman"/>
      <w:szCs w:val="20"/>
      <w:lang w:eastAsia="ar-SA"/>
    </w:rPr>
  </w:style>
  <w:style w:type="paragraph" w:styleId="1230" w:customStyle="1">
    <w:name w:val="Стиль Заголовок 4 + полужирный Первая строка:  0 см"/>
    <w:basedOn w:val="933"/>
    <w:next w:val="1132"/>
    <w:pPr>
      <w:keepLines w:val="0"/>
      <w:spacing w:before="0" w:line="288" w:lineRule="auto"/>
    </w:pPr>
    <w:rPr>
      <w:rFonts w:ascii="Times New Roman" w:hAnsi="Times New Roman" w:eastAsia="Times New Roman" w:cs="Times New Roman"/>
      <w:bCs w:val="0"/>
      <w:i w:val="0"/>
      <w:iCs w:val="0"/>
      <w:color w:val="auto"/>
      <w:szCs w:val="20"/>
    </w:rPr>
  </w:style>
  <w:style w:type="paragraph" w:styleId="1231" w:customStyle="1">
    <w:name w:val="Стиль По правому краю"/>
    <w:basedOn w:val="929"/>
    <w:pPr>
      <w:jc w:val="right"/>
    </w:pPr>
    <w:rPr>
      <w:rFonts w:eastAsia="Times New Roman" w:cs="Times New Roman"/>
      <w:szCs w:val="20"/>
      <w:lang w:eastAsia="ru-RU"/>
    </w:rPr>
  </w:style>
  <w:style w:type="paragraph" w:styleId="1232" w:customStyle="1">
    <w:name w:val="Стиль По правому краю1"/>
    <w:basedOn w:val="929"/>
    <w:pPr>
      <w:jc w:val="right"/>
    </w:pPr>
    <w:rPr>
      <w:rFonts w:eastAsia="Times New Roman" w:cs="Times New Roman"/>
      <w:szCs w:val="20"/>
      <w:lang w:eastAsia="ru-RU"/>
    </w:rPr>
  </w:style>
  <w:style w:type="numbering" w:styleId="1233" w:customStyle="1">
    <w:name w:val="Стиль1"/>
    <w:uiPriority w:val="99"/>
    <w:pPr>
      <w:numPr>
        <w:ilvl w:val="0"/>
        <w:numId w:val="19"/>
      </w:numPr>
    </w:pPr>
  </w:style>
  <w:style w:type="character" w:styleId="1234">
    <w:name w:val="Strong"/>
    <w:basedOn w:val="939"/>
    <w:uiPriority w:val="22"/>
    <w:qFormat/>
    <w:rPr>
      <w:b/>
      <w:bCs/>
    </w:rPr>
  </w:style>
  <w:style w:type="paragraph" w:styleId="1235">
    <w:name w:val="Document Map"/>
    <w:basedOn w:val="929"/>
    <w:link w:val="1236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236" w:customStyle="1">
    <w:name w:val="Схема документа Знак"/>
    <w:basedOn w:val="939"/>
    <w:link w:val="1235"/>
    <w:uiPriority w:val="99"/>
    <w:semiHidden/>
    <w:rPr>
      <w:rFonts w:ascii="Tahoma" w:hAnsi="Tahoma" w:cs="Tahoma"/>
      <w:sz w:val="16"/>
      <w:szCs w:val="16"/>
    </w:rPr>
  </w:style>
  <w:style w:type="table" w:styleId="1237" w:customStyle="1">
    <w:name w:val="Таблица простая 11"/>
    <w:basedOn w:val="94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38" w:customStyle="1">
    <w:name w:val="Таблица простая 21"/>
    <w:basedOn w:val="94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39" w:customStyle="1">
    <w:name w:val="Таблица простая 31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240" w:customStyle="1">
    <w:name w:val="Таблица простая 41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1" w:customStyle="1">
    <w:name w:val="Таблица простая 51"/>
    <w:basedOn w:val="94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242" w:customStyle="1">
    <w:name w:val="Таблица-сетка 1 светл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3" w:customStyle="1">
    <w:name w:val="Таблица-сетка 2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44" w:customStyle="1">
    <w:name w:val="Таблица-сетка 3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45" w:customStyle="1">
    <w:name w:val="Таблица-сетка 41"/>
    <w:basedOn w:val="94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246" w:customStyle="1">
    <w:name w:val="Таблица-сетка 5 тем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247" w:customStyle="1">
    <w:name w:val="Таблица-сетка 6 цвет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248" w:customStyle="1">
    <w:name w:val="Таблица-сетка 7 цветная1"/>
    <w:basedOn w:val="94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49" w:customStyle="1">
    <w:name w:val="Текст абзаца"/>
    <w:basedOn w:val="929"/>
    <w:qFormat/>
    <w:pPr>
      <w:ind w:firstLine="709"/>
      <w:spacing w:line="276" w:lineRule="auto"/>
    </w:pPr>
  </w:style>
  <w:style w:type="paragraph" w:styleId="1250" w:customStyle="1">
    <w:name w:val="Текст РЭ"/>
    <w:basedOn w:val="929"/>
    <w:link w:val="1251"/>
    <w:qFormat/>
    <w:pPr>
      <w:ind w:firstLine="709"/>
      <w:spacing w:before="120"/>
    </w:pPr>
    <w:rPr>
      <w:rFonts w:ascii="Arial" w:hAnsi="Arial" w:cs="Arial"/>
      <w:sz w:val="24"/>
      <w:szCs w:val="24"/>
    </w:rPr>
  </w:style>
  <w:style w:type="character" w:styleId="1251" w:customStyle="1">
    <w:name w:val="Текст РЭ Знак"/>
    <w:basedOn w:val="939"/>
    <w:link w:val="1250"/>
    <w:rPr>
      <w:rFonts w:ascii="Arial" w:hAnsi="Arial" w:cs="Arial"/>
      <w:sz w:val="24"/>
      <w:szCs w:val="24"/>
    </w:rPr>
  </w:style>
  <w:style w:type="paragraph" w:styleId="1252" w:customStyle="1">
    <w:name w:val="Чертежный"/>
    <w:pPr>
      <w:jc w:val="both"/>
      <w:spacing w:after="0" w:line="240" w:lineRule="auto"/>
    </w:pPr>
    <w:rPr>
      <w:rFonts w:ascii="ISOCPEUR" w:hAnsi="ISOCPEUR" w:eastAsia="Times New Roman" w:cs="Times New Roman"/>
      <w:i/>
      <w:iCs/>
      <w:sz w:val="28"/>
      <w:szCs w:val="28"/>
      <w:lang w:val="uk-UA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customXml" Target="../customXml/item2.xml" /><Relationship Id="rId15" Type="http://schemas.openxmlformats.org/officeDocument/2006/relationships/customXml" Target="../customXml/item3.xml" /><Relationship Id="rId16" Type="http://schemas.openxmlformats.org/officeDocument/2006/relationships/customXml" Target="../customXml/item4.xml" 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hyperlink" Target="mailto:contract@macrogroup.ru" TargetMode="External"/><Relationship Id="rId20" Type="http://schemas.openxmlformats.org/officeDocument/2006/relationships/hyperlink" Target="https://macroems.ru/nanos/" TargetMode="External"/><Relationship Id="rId21" Type="http://schemas.openxmlformats.org/officeDocument/2006/relationships/hyperlink" Target="https://macroems.ru/picos/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wiki.t-firefly.com/en/ROC-RK3588S-PC/index.html" TargetMode="External"/><Relationship Id="rId35" Type="http://schemas.openxmlformats.org/officeDocument/2006/relationships/hyperlink" Target="https://macroems.ru/imx662/" TargetMode="External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fc799-0610-45b3-a139-dc88e318ec7d">
      <Terms xmlns="http://schemas.microsoft.com/office/infopath/2007/PartnerControls"/>
    </lcf76f155ced4ddcb4097134ff3c332f>
    <Img xmlns="3f1fc799-0610-45b3-a139-dc88e318ec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B26EF12CB9F4B8BE21CAB877F9AF4" ma:contentTypeVersion="15" ma:contentTypeDescription="Create a new document." ma:contentTypeScope="" ma:versionID="b95a8a3f94d75369deb89693db92b88f">
  <xsd:schema xmlns:xsd="http://www.w3.org/2001/XMLSchema" xmlns:xs="http://www.w3.org/2001/XMLSchema" xmlns:p="http://schemas.microsoft.com/office/2006/metadata/properties" xmlns:ns2="3f1fc799-0610-45b3-a139-dc88e318ec7d" xmlns:ns3="2444abc0-e484-48b5-b47a-e24ad891936a" targetNamespace="http://schemas.microsoft.com/office/2006/metadata/properties" ma:root="true" ma:fieldsID="53d57e0f0faaeb6d2121c2427e962d8e" ns2:_="" ns3:_="">
    <xsd:import namespace="3f1fc799-0610-45b3-a139-dc88e318ec7d"/>
    <xsd:import namespace="2444abc0-e484-48b5-b47a-e24ad8919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Img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fc799-0610-45b3-a139-dc88e318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3359406-a320-4d87-9d0b-af37f407f6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g" ma:index="21" nillable="true" ma:displayName="Img" ma:format="Thumbnail" ma:internalName="Img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4abc0-e484-48b5-b47a-e24ad8919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24CC9F-E5DE-4997-AFB3-8A7FA1EF8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CE6821-6B30-49DC-BB17-0F691B182BC5}">
  <ds:schemaRefs>
    <ds:schemaRef ds:uri="http://schemas.microsoft.com/office/2006/metadata/properties"/>
    <ds:schemaRef ds:uri="http://schemas.microsoft.com/office/infopath/2007/PartnerControls"/>
    <ds:schemaRef ds:uri="3f1fc799-0610-45b3-a139-dc88e318ec7d"/>
  </ds:schemaRefs>
</ds:datastoreItem>
</file>

<file path=customXml/itemProps3.xml><?xml version="1.0" encoding="utf-8"?>
<ds:datastoreItem xmlns:ds="http://schemas.openxmlformats.org/officeDocument/2006/customXml" ds:itemID="{099954A2-73FA-4E34-94A9-B802EAF5E8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D77D5C-47FF-4D7F-8F0B-7A0D01994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fc799-0610-45b3-a139-dc88e318ec7d"/>
    <ds:schemaRef ds:uri="2444abc0-e484-48b5-b47a-e24ad8919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Hewlett-Packard Company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МАКРО ЕМС, 192289 г.Санкт-Петербург, Гаражный проезд дом1 литера И, www.macroems.ru</dc:creator>
  <cp:keywords/>
  <dc:description/>
  <cp:lastModifiedBy>Vladimir Orlov</cp:lastModifiedBy>
  <cp:revision>100</cp:revision>
  <dcterms:created xsi:type="dcterms:W3CDTF">2024-02-13T16:33:00Z</dcterms:created>
  <dcterms:modified xsi:type="dcterms:W3CDTF">2024-12-05T08:21:32Z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0x010100BFAB26EF12CB9F4B8BE21CAB877F9AF4</vt:lpwstr>
  </property>
  <property fmtid="{D5CDD505-2E9C-101B-9397-08002B2CF9AE}" pid="3" name="MediaServiceImageTags">
    <vt:lpwstr/>
  </property>
</Properties>
</file>